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36" w:rsidRDefault="001A2236" w:rsidP="001A2236">
      <w:pPr>
        <w:jc w:val="center"/>
        <w:rPr>
          <w:rFonts w:ascii="Times New Roman" w:hAnsi="Times New Roman"/>
          <w:b/>
          <w:sz w:val="28"/>
          <w:szCs w:val="28"/>
        </w:rPr>
      </w:pPr>
      <w:bookmarkStart w:id="0" w:name="_GoBack"/>
      <w:bookmarkEnd w:id="0"/>
      <w:r>
        <w:rPr>
          <w:rFonts w:ascii="Times New Roman" w:hAnsi="Times New Roman"/>
          <w:b/>
          <w:sz w:val="28"/>
          <w:szCs w:val="28"/>
        </w:rPr>
        <w:t xml:space="preserve">A CONTRIBUIÇÃO DA MONITORIA </w:t>
      </w:r>
    </w:p>
    <w:p w:rsidR="001A2236" w:rsidRDefault="00AD4523" w:rsidP="001A2236">
      <w:pPr>
        <w:jc w:val="center"/>
        <w:rPr>
          <w:rFonts w:ascii="Times New Roman" w:hAnsi="Times New Roman"/>
          <w:b/>
          <w:sz w:val="28"/>
          <w:szCs w:val="28"/>
        </w:rPr>
      </w:pPr>
      <w:r w:rsidRPr="00E268AF">
        <w:rPr>
          <w:rFonts w:ascii="Times New Roman" w:hAnsi="Times New Roman"/>
          <w:b/>
          <w:sz w:val="28"/>
          <w:szCs w:val="28"/>
        </w:rPr>
        <w:t>NO PROCESSO ENSINO-APRENDIZAGEM</w:t>
      </w:r>
      <w:r w:rsidR="001A2236">
        <w:rPr>
          <w:rFonts w:ascii="Times New Roman" w:hAnsi="Times New Roman"/>
          <w:b/>
          <w:sz w:val="28"/>
          <w:szCs w:val="28"/>
        </w:rPr>
        <w:t xml:space="preserve">: </w:t>
      </w:r>
    </w:p>
    <w:p w:rsidR="00AD4523" w:rsidRPr="00E268AF" w:rsidRDefault="001A2236" w:rsidP="001A2236">
      <w:pPr>
        <w:jc w:val="center"/>
        <w:rPr>
          <w:rFonts w:ascii="Times New Roman" w:hAnsi="Times New Roman"/>
          <w:b/>
          <w:sz w:val="28"/>
          <w:szCs w:val="28"/>
        </w:rPr>
      </w:pPr>
      <w:r>
        <w:rPr>
          <w:rFonts w:ascii="Times New Roman" w:hAnsi="Times New Roman"/>
          <w:b/>
          <w:sz w:val="28"/>
          <w:szCs w:val="28"/>
        </w:rPr>
        <w:t>O CASO DA DISCIPLINA SAÚDE MATERNO-INFANTIL</w:t>
      </w:r>
    </w:p>
    <w:p w:rsidR="00AD4523" w:rsidRPr="00E268AF" w:rsidRDefault="00AD4523" w:rsidP="00AD4523">
      <w:pPr>
        <w:jc w:val="center"/>
        <w:rPr>
          <w:rFonts w:ascii="Times New Roman" w:hAnsi="Times New Roman"/>
          <w:b/>
          <w:sz w:val="28"/>
          <w:szCs w:val="28"/>
        </w:rPr>
      </w:pPr>
    </w:p>
    <w:p w:rsidR="00AD4523" w:rsidRPr="009836FD" w:rsidRDefault="001A2236" w:rsidP="00AD4523">
      <w:pPr>
        <w:jc w:val="right"/>
        <w:rPr>
          <w:rFonts w:ascii="Times New Roman" w:hAnsi="Times New Roman"/>
        </w:rPr>
      </w:pPr>
      <w:r>
        <w:rPr>
          <w:rFonts w:ascii="Times New Roman" w:hAnsi="Times New Roman"/>
        </w:rPr>
        <w:t xml:space="preserve">Camila da Silva </w:t>
      </w:r>
      <w:proofErr w:type="gramStart"/>
      <w:r>
        <w:rPr>
          <w:rFonts w:ascii="Times New Roman" w:hAnsi="Times New Roman"/>
        </w:rPr>
        <w:t>Ferreira</w:t>
      </w:r>
      <w:r w:rsidR="00E268AF">
        <w:rPr>
          <w:rFonts w:ascii="Times New Roman" w:hAnsi="Times New Roman"/>
          <w:vertAlign w:val="superscript"/>
        </w:rPr>
        <w:t>(</w:t>
      </w:r>
      <w:proofErr w:type="gramEnd"/>
      <w:r>
        <w:rPr>
          <w:rFonts w:ascii="Times New Roman" w:hAnsi="Times New Roman"/>
          <w:vertAlign w:val="superscript"/>
        </w:rPr>
        <w:t>1</w:t>
      </w:r>
      <w:r w:rsidR="00AD4523" w:rsidRPr="00E268AF">
        <w:rPr>
          <w:rFonts w:ascii="Times New Roman" w:hAnsi="Times New Roman"/>
          <w:vertAlign w:val="superscript"/>
        </w:rPr>
        <w:t>)</w:t>
      </w:r>
      <w:r w:rsidR="00AD4523" w:rsidRPr="00E268AF">
        <w:rPr>
          <w:rFonts w:ascii="Times New Roman" w:hAnsi="Times New Roman"/>
        </w:rPr>
        <w:t xml:space="preserve">; </w:t>
      </w:r>
      <w:r w:rsidR="00E268AF">
        <w:rPr>
          <w:rFonts w:ascii="Times New Roman" w:hAnsi="Times New Roman"/>
        </w:rPr>
        <w:t>Roberto Teixeira</w:t>
      </w:r>
      <w:r>
        <w:rPr>
          <w:rFonts w:ascii="Times New Roman" w:hAnsi="Times New Roman"/>
        </w:rPr>
        <w:t xml:space="preserve"> Lima</w:t>
      </w:r>
      <w:r>
        <w:rPr>
          <w:rFonts w:ascii="Times New Roman" w:hAnsi="Times New Roman"/>
          <w:vertAlign w:val="superscript"/>
        </w:rPr>
        <w:t>(2</w:t>
      </w:r>
      <w:r w:rsidR="00AD4523" w:rsidRPr="00E268AF">
        <w:rPr>
          <w:rFonts w:ascii="Times New Roman" w:hAnsi="Times New Roman"/>
          <w:vertAlign w:val="superscript"/>
        </w:rPr>
        <w:t>)</w:t>
      </w:r>
      <w:r>
        <w:rPr>
          <w:rFonts w:ascii="Times New Roman" w:hAnsi="Times New Roman"/>
        </w:rPr>
        <w:t>; Pâmela Martins</w:t>
      </w:r>
      <w:r>
        <w:rPr>
          <w:rFonts w:ascii="Times New Roman" w:hAnsi="Times New Roman"/>
          <w:vertAlign w:val="superscript"/>
        </w:rPr>
        <w:t>(3</w:t>
      </w:r>
      <w:r w:rsidR="00AD4523" w:rsidRPr="00E268AF">
        <w:rPr>
          <w:rFonts w:ascii="Times New Roman" w:hAnsi="Times New Roman"/>
          <w:vertAlign w:val="superscript"/>
        </w:rPr>
        <w:t>)</w:t>
      </w:r>
      <w:r w:rsidR="009836FD">
        <w:rPr>
          <w:rFonts w:ascii="Times New Roman" w:hAnsi="Times New Roman"/>
        </w:rPr>
        <w:t>; Maria da Conceição Rodrigues Gonçalves</w:t>
      </w:r>
      <w:r w:rsidR="009836FD">
        <w:rPr>
          <w:rFonts w:ascii="Times New Roman" w:hAnsi="Times New Roman"/>
          <w:vertAlign w:val="superscript"/>
        </w:rPr>
        <w:t>(2</w:t>
      </w:r>
      <w:r w:rsidR="009836FD" w:rsidRPr="009836FD">
        <w:rPr>
          <w:rFonts w:ascii="Times New Roman" w:hAnsi="Times New Roman"/>
          <w:vertAlign w:val="superscript"/>
        </w:rPr>
        <w:t>)</w:t>
      </w:r>
    </w:p>
    <w:p w:rsidR="00AD4523" w:rsidRPr="00E268AF" w:rsidRDefault="00AD4523" w:rsidP="00AD4523">
      <w:pPr>
        <w:jc w:val="right"/>
        <w:rPr>
          <w:rFonts w:ascii="Times New Roman" w:hAnsi="Times New Roman"/>
        </w:rPr>
      </w:pPr>
      <w:r w:rsidRPr="00E268AF">
        <w:rPr>
          <w:rFonts w:ascii="Times New Roman" w:hAnsi="Times New Roman"/>
        </w:rPr>
        <w:t>Centro de Ciências da Saúde/De</w:t>
      </w:r>
      <w:r w:rsidR="001A2236">
        <w:rPr>
          <w:rFonts w:ascii="Times New Roman" w:hAnsi="Times New Roman"/>
        </w:rPr>
        <w:t>partamento de Nutrição</w:t>
      </w:r>
    </w:p>
    <w:p w:rsidR="00AD4523" w:rsidRPr="00E268AF" w:rsidRDefault="00AD4523" w:rsidP="00AD4523">
      <w:pPr>
        <w:jc w:val="right"/>
        <w:rPr>
          <w:rFonts w:ascii="Times New Roman" w:hAnsi="Times New Roman"/>
          <w:b/>
          <w:sz w:val="28"/>
          <w:szCs w:val="28"/>
        </w:rPr>
      </w:pPr>
    </w:p>
    <w:p w:rsidR="008729B5" w:rsidRPr="00E268AF" w:rsidRDefault="008729B5">
      <w:pPr>
        <w:rPr>
          <w:rFonts w:ascii="Times New Roman" w:hAnsi="Times New Roman"/>
        </w:rPr>
      </w:pPr>
    </w:p>
    <w:p w:rsidR="00E268AF" w:rsidRPr="00E268AF" w:rsidRDefault="00E268AF" w:rsidP="00E268AF">
      <w:pPr>
        <w:jc w:val="both"/>
        <w:rPr>
          <w:rFonts w:ascii="Times New Roman" w:hAnsi="Times New Roman"/>
          <w:b/>
        </w:rPr>
      </w:pPr>
      <w:r w:rsidRPr="00E268AF">
        <w:rPr>
          <w:rFonts w:ascii="Times New Roman" w:hAnsi="Times New Roman"/>
          <w:b/>
        </w:rPr>
        <w:t>RESUMO</w:t>
      </w:r>
    </w:p>
    <w:p w:rsidR="00E268AF" w:rsidRDefault="00E268AF">
      <w:pPr>
        <w:rPr>
          <w:rFonts w:ascii="Times New Roman" w:hAnsi="Times New Roman"/>
        </w:rPr>
      </w:pPr>
    </w:p>
    <w:p w:rsidR="001A2236" w:rsidRDefault="001A2236" w:rsidP="006800F1">
      <w:pPr>
        <w:autoSpaceDE w:val="0"/>
        <w:autoSpaceDN w:val="0"/>
        <w:adjustRightInd w:val="0"/>
        <w:spacing w:line="360" w:lineRule="auto"/>
        <w:jc w:val="both"/>
        <w:rPr>
          <w:rFonts w:ascii="Times New Roman" w:hAnsi="Times New Roman"/>
          <w:shd w:val="clear" w:color="auto" w:fill="FFFFFF"/>
        </w:rPr>
      </w:pPr>
    </w:p>
    <w:p w:rsidR="00ED2FC2" w:rsidRPr="001A3095" w:rsidRDefault="00ED2FC2" w:rsidP="006800F1">
      <w:pPr>
        <w:autoSpaceDE w:val="0"/>
        <w:autoSpaceDN w:val="0"/>
        <w:adjustRightInd w:val="0"/>
        <w:spacing w:line="360" w:lineRule="auto"/>
        <w:jc w:val="both"/>
        <w:rPr>
          <w:rFonts w:ascii="Times New Roman" w:hAnsi="Times New Roman"/>
        </w:rPr>
      </w:pPr>
      <w:r w:rsidRPr="001A3095">
        <w:rPr>
          <w:rFonts w:ascii="Times New Roman" w:hAnsi="Times New Roman"/>
          <w:shd w:val="clear" w:color="auto" w:fill="FFFFFF"/>
        </w:rPr>
        <w:t>A monitoria</w:t>
      </w:r>
      <w:r w:rsidR="001A3095" w:rsidRPr="001A3095">
        <w:rPr>
          <w:rFonts w:ascii="Times New Roman" w:hAnsi="Times New Roman"/>
          <w:shd w:val="clear" w:color="auto" w:fill="FFFFFF"/>
        </w:rPr>
        <w:t xml:space="preserve"> como procedimento pedagógico, tem</w:t>
      </w:r>
      <w:r w:rsidR="001A2236" w:rsidRPr="001A3095">
        <w:rPr>
          <w:rFonts w:ascii="Times New Roman" w:hAnsi="Times New Roman"/>
          <w:shd w:val="clear" w:color="auto" w:fill="FFFFFF"/>
        </w:rPr>
        <w:t xml:space="preserve"> demonstrado sua utilidade, na</w:t>
      </w:r>
      <w:r w:rsidRPr="001A3095">
        <w:rPr>
          <w:rFonts w:ascii="Times New Roman" w:hAnsi="Times New Roman"/>
          <w:shd w:val="clear" w:color="auto" w:fill="FFFFFF"/>
        </w:rPr>
        <w:t xml:space="preserve"> medida </w:t>
      </w:r>
      <w:r w:rsidR="001A2236" w:rsidRPr="001A3095">
        <w:rPr>
          <w:rFonts w:ascii="Times New Roman" w:hAnsi="Times New Roman"/>
          <w:shd w:val="clear" w:color="auto" w:fill="FFFFFF"/>
        </w:rPr>
        <w:t xml:space="preserve">em </w:t>
      </w:r>
      <w:r w:rsidRPr="001A3095">
        <w:rPr>
          <w:rFonts w:ascii="Times New Roman" w:hAnsi="Times New Roman"/>
          <w:shd w:val="clear" w:color="auto" w:fill="FFFFFF"/>
        </w:rPr>
        <w:t>que atende às dimensões "política, técnica e humana da prática pedagógica".</w:t>
      </w:r>
      <w:r w:rsidR="00DF5F18" w:rsidRPr="001A3095">
        <w:t xml:space="preserve"> </w:t>
      </w:r>
      <w:r w:rsidR="006800F1" w:rsidRPr="001A3095">
        <w:t xml:space="preserve">O </w:t>
      </w:r>
      <w:r w:rsidR="00DF5F18" w:rsidRPr="001A3095">
        <w:t xml:space="preserve">conteúdo curricular </w:t>
      </w:r>
      <w:r w:rsidR="006800F1" w:rsidRPr="001A3095">
        <w:t xml:space="preserve">da disciplina </w:t>
      </w:r>
      <w:r w:rsidR="00DF5F18" w:rsidRPr="001A3095">
        <w:t>tra</w:t>
      </w:r>
      <w:r w:rsidR="006800F1" w:rsidRPr="001A3095">
        <w:t>z</w:t>
      </w:r>
      <w:r w:rsidR="00DF5F18" w:rsidRPr="001A3095">
        <w:t xml:space="preserve"> um complemento </w:t>
      </w:r>
      <w:r w:rsidR="001A2236" w:rsidRPr="001A3095">
        <w:t xml:space="preserve">fundamental </w:t>
      </w:r>
      <w:r w:rsidR="00DF5F18" w:rsidRPr="001A3095">
        <w:t xml:space="preserve">do conhecimento </w:t>
      </w:r>
      <w:r w:rsidR="001A3095" w:rsidRPr="001A3095">
        <w:t>das ciências</w:t>
      </w:r>
      <w:r w:rsidR="001A2236" w:rsidRPr="001A3095">
        <w:t xml:space="preserve"> da nutrição na particularidade do componente</w:t>
      </w:r>
      <w:r w:rsidR="00DF5F18" w:rsidRPr="001A3095">
        <w:t xml:space="preserve"> </w:t>
      </w:r>
      <w:r w:rsidR="001A2236" w:rsidRPr="001A3095">
        <w:rPr>
          <w:rFonts w:ascii="Arial" w:hAnsi="Arial" w:cs="Arial"/>
        </w:rPr>
        <w:t>“</w:t>
      </w:r>
      <w:r w:rsidR="00DF5F18" w:rsidRPr="001A3095">
        <w:t>saúde materno-infantil</w:t>
      </w:r>
      <w:r w:rsidR="001A2236" w:rsidRPr="001A3095">
        <w:rPr>
          <w:rFonts w:ascii="Arial" w:hAnsi="Arial" w:cs="Arial"/>
        </w:rPr>
        <w:t>”</w:t>
      </w:r>
      <w:r w:rsidR="001A2236" w:rsidRPr="001A3095">
        <w:t xml:space="preserve">, </w:t>
      </w:r>
      <w:r w:rsidR="00DF5F18" w:rsidRPr="001A3095">
        <w:t xml:space="preserve">sendo este grupo populacional </w:t>
      </w:r>
      <w:r w:rsidR="001A2236" w:rsidRPr="001A3095">
        <w:t xml:space="preserve">o </w:t>
      </w:r>
      <w:r w:rsidR="00DF5F18" w:rsidRPr="001A3095">
        <w:t>de maior demanda nos serviços de saúde, s</w:t>
      </w:r>
      <w:r w:rsidR="001A2236" w:rsidRPr="001A3095">
        <w:t>eja no espaço da saúde coletiva</w:t>
      </w:r>
      <w:r w:rsidR="00DF5F18" w:rsidRPr="001A3095">
        <w:t xml:space="preserve">, seja no espaço institucional de assistência à saúde. </w:t>
      </w:r>
      <w:r w:rsidR="001A2236" w:rsidRPr="001A3095">
        <w:t xml:space="preserve">Por esta razão torna-o imprescindível a </w:t>
      </w:r>
      <w:r w:rsidR="001A3095" w:rsidRPr="001A3095">
        <w:t>apreensão</w:t>
      </w:r>
      <w:r w:rsidR="001A2236" w:rsidRPr="001A3095">
        <w:t xml:space="preserve"> desse conhecimento por parte do processo de formação do profissional da área de saúde, especificamente o nutricionista. Nesse contexto, a monitoria se faz útil, enquanto recurso pedagógico no processo de ensino-aprendizagem. As atividades de monitoria foram realizadas na disciplina </w:t>
      </w:r>
      <w:r w:rsidR="001A3095" w:rsidRPr="001A3095">
        <w:t>curricular</w:t>
      </w:r>
      <w:r w:rsidR="001A2236" w:rsidRPr="001A3095">
        <w:t xml:space="preserve"> </w:t>
      </w:r>
      <w:r w:rsidR="001A2236" w:rsidRPr="001A3095">
        <w:rPr>
          <w:rFonts w:ascii="Arial" w:hAnsi="Arial" w:cs="Arial"/>
        </w:rPr>
        <w:t>“</w:t>
      </w:r>
      <w:r w:rsidR="001A2236" w:rsidRPr="001A3095">
        <w:t>Saúde materno-Infantil</w:t>
      </w:r>
      <w:r w:rsidR="001A2236" w:rsidRPr="001A3095">
        <w:rPr>
          <w:rFonts w:ascii="Arial" w:hAnsi="Arial" w:cs="Arial"/>
        </w:rPr>
        <w:t>”</w:t>
      </w:r>
      <w:r w:rsidR="001A2236" w:rsidRPr="001A3095">
        <w:t xml:space="preserve"> vinculada ao curso de graduação em ciências da nutrição do </w:t>
      </w:r>
      <w:r w:rsidR="006800F1" w:rsidRPr="001A3095">
        <w:rPr>
          <w:rFonts w:ascii="Times New Roman" w:hAnsi="Times New Roman"/>
        </w:rPr>
        <w:t>Centro de Ciências da Saúde da Universidade Federal da Paraíba,</w:t>
      </w:r>
      <w:r w:rsidR="001A2236" w:rsidRPr="001A3095">
        <w:rPr>
          <w:rFonts w:ascii="Times New Roman" w:hAnsi="Times New Roman"/>
        </w:rPr>
        <w:t xml:space="preserve"> durante a vigência do período letivo de </w:t>
      </w:r>
      <w:r w:rsidR="006800F1" w:rsidRPr="001A3095">
        <w:rPr>
          <w:rFonts w:ascii="Times New Roman" w:hAnsi="Times New Roman"/>
        </w:rPr>
        <w:t xml:space="preserve">2012.2 e 2013.1. </w:t>
      </w:r>
      <w:r w:rsidR="001A2236" w:rsidRPr="001A3095">
        <w:rPr>
          <w:rFonts w:ascii="Times New Roman" w:hAnsi="Times New Roman"/>
        </w:rPr>
        <w:t>Foram</w:t>
      </w:r>
      <w:r w:rsidR="006800F1" w:rsidRPr="001A3095">
        <w:rPr>
          <w:rFonts w:ascii="Times New Roman" w:hAnsi="Times New Roman"/>
        </w:rPr>
        <w:t xml:space="preserve"> realizada</w:t>
      </w:r>
      <w:r w:rsidR="001A2236" w:rsidRPr="001A3095">
        <w:rPr>
          <w:rFonts w:ascii="Times New Roman" w:hAnsi="Times New Roman"/>
        </w:rPr>
        <w:t xml:space="preserve">s </w:t>
      </w:r>
      <w:r w:rsidR="001A3095" w:rsidRPr="001A3095">
        <w:rPr>
          <w:rFonts w:ascii="Times New Roman" w:hAnsi="Times New Roman"/>
        </w:rPr>
        <w:t>orientações pedagógicas aos alunos sobre revisão da literatura nas bases de dados indexadas</w:t>
      </w:r>
      <w:r w:rsidR="006800F1" w:rsidRPr="001A3095">
        <w:rPr>
          <w:rFonts w:ascii="Times New Roman" w:hAnsi="Times New Roman"/>
        </w:rPr>
        <w:t xml:space="preserve">; </w:t>
      </w:r>
      <w:r w:rsidR="001A2236" w:rsidRPr="001A3095">
        <w:rPr>
          <w:rFonts w:ascii="Times New Roman" w:hAnsi="Times New Roman"/>
        </w:rPr>
        <w:t>e</w:t>
      </w:r>
      <w:r w:rsidR="006800F1" w:rsidRPr="001A3095">
        <w:rPr>
          <w:rFonts w:ascii="Times New Roman" w:hAnsi="Times New Roman"/>
        </w:rPr>
        <w:t>labora</w:t>
      </w:r>
      <w:r w:rsidR="006800F1" w:rsidRPr="001A3095">
        <w:rPr>
          <w:rFonts w:ascii="Times New Roman" w:hAnsi="Times New Roman" w:hint="eastAsia"/>
        </w:rPr>
        <w:t>çã</w:t>
      </w:r>
      <w:r w:rsidR="006800F1" w:rsidRPr="001A3095">
        <w:rPr>
          <w:rFonts w:ascii="Times New Roman" w:hAnsi="Times New Roman"/>
        </w:rPr>
        <w:t>o de resenhas tem</w:t>
      </w:r>
      <w:r w:rsidR="006800F1" w:rsidRPr="001A3095">
        <w:rPr>
          <w:rFonts w:ascii="Times New Roman" w:hAnsi="Times New Roman" w:hint="eastAsia"/>
        </w:rPr>
        <w:t>á</w:t>
      </w:r>
      <w:r w:rsidR="006800F1" w:rsidRPr="001A3095">
        <w:rPr>
          <w:rFonts w:ascii="Times New Roman" w:hAnsi="Times New Roman"/>
        </w:rPr>
        <w:t xml:space="preserve">ticas; </w:t>
      </w:r>
      <w:r w:rsidR="001A2236" w:rsidRPr="001A3095">
        <w:rPr>
          <w:rFonts w:ascii="Times New Roman" w:hAnsi="Times New Roman"/>
        </w:rPr>
        <w:t>d</w:t>
      </w:r>
      <w:r w:rsidR="006800F1" w:rsidRPr="001A3095">
        <w:rPr>
          <w:rFonts w:ascii="Times New Roman" w:hAnsi="Times New Roman"/>
        </w:rPr>
        <w:t xml:space="preserve">esenvolvimento de oficinas de trabalho para desenvolver habilidades para identificar problemas relevantes na </w:t>
      </w:r>
      <w:r w:rsidR="006800F1" w:rsidRPr="001A3095">
        <w:rPr>
          <w:rFonts w:ascii="Times New Roman" w:hAnsi="Times New Roman" w:hint="eastAsia"/>
        </w:rPr>
        <w:t>á</w:t>
      </w:r>
      <w:r w:rsidR="006800F1" w:rsidRPr="001A3095">
        <w:rPr>
          <w:rFonts w:ascii="Times New Roman" w:hAnsi="Times New Roman"/>
        </w:rPr>
        <w:t xml:space="preserve">rea do estudo; </w:t>
      </w:r>
      <w:r w:rsidR="001A2236" w:rsidRPr="001A3095">
        <w:rPr>
          <w:rFonts w:ascii="Times New Roman" w:hAnsi="Times New Roman"/>
        </w:rPr>
        <w:t>r</w:t>
      </w:r>
      <w:r w:rsidR="006800F1" w:rsidRPr="001A3095">
        <w:rPr>
          <w:rFonts w:ascii="Times New Roman" w:hAnsi="Times New Roman"/>
        </w:rPr>
        <w:t>ealiza</w:t>
      </w:r>
      <w:r w:rsidR="006800F1" w:rsidRPr="001A3095">
        <w:rPr>
          <w:rFonts w:ascii="Times New Roman" w:hAnsi="Times New Roman" w:hint="eastAsia"/>
        </w:rPr>
        <w:t>çã</w:t>
      </w:r>
      <w:r w:rsidR="006800F1" w:rsidRPr="001A3095">
        <w:rPr>
          <w:rFonts w:ascii="Times New Roman" w:hAnsi="Times New Roman"/>
        </w:rPr>
        <w:t>o de visitas t</w:t>
      </w:r>
      <w:r w:rsidR="006800F1" w:rsidRPr="001A3095">
        <w:rPr>
          <w:rFonts w:ascii="Times New Roman" w:hAnsi="Times New Roman" w:hint="eastAsia"/>
        </w:rPr>
        <w:t>é</w:t>
      </w:r>
      <w:r w:rsidR="006800F1" w:rsidRPr="001A3095">
        <w:rPr>
          <w:rFonts w:ascii="Times New Roman" w:hAnsi="Times New Roman"/>
        </w:rPr>
        <w:t>cnicas em servi</w:t>
      </w:r>
      <w:r w:rsidR="006800F1" w:rsidRPr="001A3095">
        <w:rPr>
          <w:rFonts w:ascii="Times New Roman" w:hAnsi="Times New Roman" w:hint="eastAsia"/>
        </w:rPr>
        <w:t>ç</w:t>
      </w:r>
      <w:r w:rsidR="006800F1" w:rsidRPr="001A3095">
        <w:rPr>
          <w:rFonts w:ascii="Times New Roman" w:hAnsi="Times New Roman"/>
        </w:rPr>
        <w:t>os especializados para vivenciar a din</w:t>
      </w:r>
      <w:r w:rsidR="006800F1" w:rsidRPr="001A3095">
        <w:rPr>
          <w:rFonts w:ascii="Times New Roman" w:hAnsi="Times New Roman" w:hint="eastAsia"/>
        </w:rPr>
        <w:t>â</w:t>
      </w:r>
      <w:r w:rsidR="006800F1" w:rsidRPr="001A3095">
        <w:rPr>
          <w:rFonts w:ascii="Times New Roman" w:hAnsi="Times New Roman"/>
        </w:rPr>
        <w:t>mica do funcionamento operacional e organizacional</w:t>
      </w:r>
      <w:r w:rsidR="001A2236" w:rsidRPr="001A3095">
        <w:rPr>
          <w:rFonts w:ascii="Times New Roman" w:hAnsi="Times New Roman"/>
        </w:rPr>
        <w:t>; e</w:t>
      </w:r>
      <w:r w:rsidR="006800F1" w:rsidRPr="001A3095">
        <w:rPr>
          <w:rFonts w:ascii="Times New Roman" w:hAnsi="Times New Roman"/>
        </w:rPr>
        <w:t>stimula</w:t>
      </w:r>
      <w:r w:rsidR="006800F1" w:rsidRPr="001A3095">
        <w:rPr>
          <w:rFonts w:ascii="Times New Roman" w:hAnsi="Times New Roman" w:hint="eastAsia"/>
        </w:rPr>
        <w:t>çã</w:t>
      </w:r>
      <w:r w:rsidR="006800F1" w:rsidRPr="001A3095">
        <w:rPr>
          <w:rFonts w:ascii="Times New Roman" w:hAnsi="Times New Roman"/>
        </w:rPr>
        <w:t>o para o desenvolvimento de estudo em equipe para an</w:t>
      </w:r>
      <w:r w:rsidR="006800F1" w:rsidRPr="001A3095">
        <w:rPr>
          <w:rFonts w:ascii="Times New Roman" w:hAnsi="Times New Roman" w:hint="eastAsia"/>
        </w:rPr>
        <w:t>á</w:t>
      </w:r>
      <w:r w:rsidR="006800F1" w:rsidRPr="001A3095">
        <w:rPr>
          <w:rFonts w:ascii="Times New Roman" w:hAnsi="Times New Roman"/>
        </w:rPr>
        <w:t>lise de casos cl</w:t>
      </w:r>
      <w:r w:rsidR="006800F1" w:rsidRPr="001A3095">
        <w:rPr>
          <w:rFonts w:ascii="Times New Roman" w:hAnsi="Times New Roman" w:hint="eastAsia"/>
        </w:rPr>
        <w:t>í</w:t>
      </w:r>
      <w:r w:rsidR="006800F1" w:rsidRPr="001A3095">
        <w:rPr>
          <w:rFonts w:ascii="Times New Roman" w:hAnsi="Times New Roman"/>
        </w:rPr>
        <w:t>nicos</w:t>
      </w:r>
      <w:r w:rsidR="001A2236" w:rsidRPr="001A3095">
        <w:rPr>
          <w:rFonts w:ascii="Times New Roman" w:hAnsi="Times New Roman"/>
        </w:rPr>
        <w:t>; além de participação no processo avaliativo de aprendizagem dos alunos</w:t>
      </w:r>
      <w:r w:rsidR="006800F1" w:rsidRPr="001A3095">
        <w:rPr>
          <w:rFonts w:ascii="Times New Roman" w:hAnsi="Times New Roman"/>
        </w:rPr>
        <w:t xml:space="preserve">. </w:t>
      </w:r>
      <w:r w:rsidR="001A2236" w:rsidRPr="001A3095">
        <w:rPr>
          <w:rFonts w:ascii="Times New Roman" w:hAnsi="Times New Roman"/>
        </w:rPr>
        <w:t>Essa</w:t>
      </w:r>
      <w:r w:rsidR="006800F1" w:rsidRPr="001A3095">
        <w:rPr>
          <w:rFonts w:ascii="Times New Roman" w:hAnsi="Times New Roman"/>
        </w:rPr>
        <w:t xml:space="preserve">s </w:t>
      </w:r>
      <w:r w:rsidR="001A2236" w:rsidRPr="001A3095">
        <w:rPr>
          <w:rFonts w:ascii="Times New Roman" w:hAnsi="Times New Roman"/>
        </w:rPr>
        <w:t xml:space="preserve">atividades </w:t>
      </w:r>
      <w:r w:rsidR="006800F1" w:rsidRPr="001A3095">
        <w:rPr>
          <w:rFonts w:ascii="Times New Roman" w:hAnsi="Times New Roman"/>
        </w:rPr>
        <w:t>de monitoria se mostraram eficientes no processo de apren</w:t>
      </w:r>
      <w:r w:rsidR="001A2236" w:rsidRPr="001A3095">
        <w:rPr>
          <w:rFonts w:ascii="Times New Roman" w:hAnsi="Times New Roman"/>
        </w:rPr>
        <w:t>dizagem dos alunos, facilit</w:t>
      </w:r>
      <w:r w:rsidR="006800F1" w:rsidRPr="001A3095">
        <w:rPr>
          <w:rFonts w:ascii="Times New Roman" w:hAnsi="Times New Roman"/>
        </w:rPr>
        <w:t xml:space="preserve">ando a </w:t>
      </w:r>
      <w:r w:rsidR="001A2236" w:rsidRPr="001A3095">
        <w:rPr>
          <w:rFonts w:ascii="Times New Roman" w:hAnsi="Times New Roman"/>
        </w:rPr>
        <w:t xml:space="preserve">construção do conhecimento, na formação do profissional em nutrição. </w:t>
      </w:r>
    </w:p>
    <w:p w:rsidR="00E268AF" w:rsidRPr="001A3095" w:rsidRDefault="00E268AF">
      <w:pPr>
        <w:rPr>
          <w:rFonts w:ascii="Times New Roman" w:hAnsi="Times New Roman"/>
        </w:rPr>
      </w:pPr>
    </w:p>
    <w:p w:rsidR="001A2236" w:rsidRPr="001A3095" w:rsidRDefault="001A2236" w:rsidP="00AA32DD">
      <w:pPr>
        <w:autoSpaceDE w:val="0"/>
        <w:autoSpaceDN w:val="0"/>
        <w:adjustRightInd w:val="0"/>
        <w:jc w:val="both"/>
        <w:rPr>
          <w:rFonts w:ascii="Times New Roman" w:hAnsi="Times New Roman"/>
          <w:b/>
        </w:rPr>
      </w:pPr>
    </w:p>
    <w:p w:rsidR="001A2236" w:rsidRPr="001A3095" w:rsidRDefault="001A2236" w:rsidP="00AA32DD">
      <w:pPr>
        <w:autoSpaceDE w:val="0"/>
        <w:autoSpaceDN w:val="0"/>
        <w:adjustRightInd w:val="0"/>
        <w:jc w:val="both"/>
        <w:rPr>
          <w:rFonts w:ascii="Times New Roman" w:hAnsi="Times New Roman"/>
          <w:b/>
        </w:rPr>
      </w:pPr>
    </w:p>
    <w:p w:rsidR="00AA32DD" w:rsidRPr="001A3095" w:rsidRDefault="00AA32DD" w:rsidP="00AA32DD">
      <w:pPr>
        <w:autoSpaceDE w:val="0"/>
        <w:autoSpaceDN w:val="0"/>
        <w:adjustRightInd w:val="0"/>
        <w:jc w:val="both"/>
        <w:rPr>
          <w:rFonts w:ascii="Times New Roman" w:hAnsi="Times New Roman"/>
        </w:rPr>
      </w:pPr>
      <w:r w:rsidRPr="001A3095">
        <w:rPr>
          <w:rFonts w:ascii="Times New Roman" w:hAnsi="Times New Roman"/>
          <w:b/>
        </w:rPr>
        <w:t>PALAVRAS-CHAVE</w:t>
      </w:r>
      <w:r w:rsidR="001A2236" w:rsidRPr="001A3095">
        <w:rPr>
          <w:rFonts w:ascii="Times New Roman" w:hAnsi="Times New Roman"/>
        </w:rPr>
        <w:t>: prática pedagógica; saúde materno-i</w:t>
      </w:r>
      <w:r w:rsidRPr="001A3095">
        <w:rPr>
          <w:rFonts w:ascii="Times New Roman" w:hAnsi="Times New Roman"/>
        </w:rPr>
        <w:t>nfan</w:t>
      </w:r>
      <w:r w:rsidR="001A2236" w:rsidRPr="001A3095">
        <w:rPr>
          <w:rFonts w:ascii="Times New Roman" w:hAnsi="Times New Roman"/>
        </w:rPr>
        <w:t>til; ensino-aprendizagem.</w:t>
      </w:r>
    </w:p>
    <w:p w:rsidR="00AA32DD" w:rsidRPr="001A3095" w:rsidRDefault="00AA32DD" w:rsidP="00AA32DD">
      <w:pPr>
        <w:autoSpaceDE w:val="0"/>
        <w:autoSpaceDN w:val="0"/>
        <w:adjustRightInd w:val="0"/>
        <w:jc w:val="both"/>
        <w:rPr>
          <w:rFonts w:ascii="Times New Roman" w:hAnsi="Times New Roman"/>
        </w:rPr>
      </w:pPr>
    </w:p>
    <w:p w:rsidR="00AA32DD" w:rsidRPr="001A3095" w:rsidRDefault="00AA32DD" w:rsidP="00AA32DD">
      <w:pPr>
        <w:autoSpaceDE w:val="0"/>
        <w:autoSpaceDN w:val="0"/>
        <w:adjustRightInd w:val="0"/>
        <w:jc w:val="both"/>
        <w:rPr>
          <w:rFonts w:ascii="Times New Roman" w:hAnsi="Times New Roman"/>
        </w:rPr>
      </w:pPr>
    </w:p>
    <w:p w:rsidR="00AA32DD" w:rsidRPr="001A3095" w:rsidRDefault="00AA32DD" w:rsidP="00AA32DD">
      <w:pPr>
        <w:jc w:val="both"/>
        <w:rPr>
          <w:rFonts w:ascii="Times New Roman" w:hAnsi="Times New Roman"/>
          <w:b/>
        </w:rPr>
      </w:pPr>
      <w:r w:rsidRPr="001A3095">
        <w:rPr>
          <w:rFonts w:ascii="Times New Roman" w:hAnsi="Times New Roman"/>
          <w:b/>
        </w:rPr>
        <w:t>INTRODUÇÃO</w:t>
      </w:r>
    </w:p>
    <w:p w:rsidR="00AA32DD" w:rsidRPr="001A3095" w:rsidRDefault="00AA32DD" w:rsidP="00AA32DD">
      <w:pPr>
        <w:jc w:val="both"/>
        <w:rPr>
          <w:rFonts w:ascii="Times New Roman" w:hAnsi="Times New Roman"/>
          <w:b/>
        </w:rPr>
      </w:pPr>
    </w:p>
    <w:p w:rsidR="001A2236" w:rsidRPr="001A3095" w:rsidRDefault="001A2236" w:rsidP="00AA32DD">
      <w:pPr>
        <w:pStyle w:val="SemEspaamento"/>
        <w:spacing w:line="360" w:lineRule="auto"/>
        <w:jc w:val="both"/>
        <w:rPr>
          <w:rFonts w:ascii="Times New Roman" w:hAnsi="Times New Roman"/>
          <w:shd w:val="clear" w:color="auto" w:fill="FFFFFF"/>
        </w:rPr>
      </w:pPr>
    </w:p>
    <w:p w:rsidR="00AA32DD" w:rsidRPr="001A3095" w:rsidRDefault="00AA32DD" w:rsidP="00AA32DD">
      <w:pPr>
        <w:pStyle w:val="SemEspaamento"/>
        <w:spacing w:line="360" w:lineRule="auto"/>
        <w:jc w:val="both"/>
        <w:rPr>
          <w:rFonts w:ascii="Times New Roman" w:hAnsi="Times New Roman"/>
        </w:rPr>
      </w:pPr>
      <w:r w:rsidRPr="001A3095">
        <w:rPr>
          <w:rFonts w:ascii="Times New Roman" w:hAnsi="Times New Roman"/>
          <w:shd w:val="clear" w:color="auto" w:fill="FFFFFF"/>
        </w:rPr>
        <w:tab/>
        <w:t xml:space="preserve">A prática da monitoria no contexto educativo data de longo tempo e se define como processo pelo qual alunos </w:t>
      </w:r>
      <w:r w:rsidR="001A2236" w:rsidRPr="001A3095">
        <w:rPr>
          <w:rFonts w:ascii="Times New Roman" w:hAnsi="Times New Roman"/>
          <w:shd w:val="clear" w:color="auto" w:fill="FFFFFF"/>
        </w:rPr>
        <w:t xml:space="preserve">participam, juntamente com seus mestres, no processo de ensino-aprendizagem, auxiliando outros alunos de </w:t>
      </w:r>
      <w:r w:rsidR="001A3095" w:rsidRPr="001A3095">
        <w:rPr>
          <w:rFonts w:ascii="Times New Roman" w:hAnsi="Times New Roman"/>
          <w:shd w:val="clear" w:color="auto" w:fill="FFFFFF"/>
        </w:rPr>
        <w:t>menores habilidades e competências</w:t>
      </w:r>
      <w:r w:rsidR="001A2236" w:rsidRPr="001A3095">
        <w:rPr>
          <w:rFonts w:ascii="Times New Roman" w:hAnsi="Times New Roman"/>
          <w:shd w:val="clear" w:color="auto" w:fill="FFFFFF"/>
        </w:rPr>
        <w:t xml:space="preserve"> em determinada área de conhecimento</w:t>
      </w:r>
      <w:r w:rsidRPr="001A3095">
        <w:rPr>
          <w:rFonts w:ascii="Times New Roman" w:hAnsi="Times New Roman"/>
          <w:shd w:val="clear" w:color="auto" w:fill="FFFFFF"/>
        </w:rPr>
        <w:t xml:space="preserve">. Nos últimos anos, com o desenvolvimento do pensamento pedagógico de orientação crítico-progressista, procedimentos </w:t>
      </w:r>
      <w:r w:rsidR="001A2236" w:rsidRPr="001A3095">
        <w:rPr>
          <w:rFonts w:ascii="Times New Roman" w:hAnsi="Times New Roman"/>
          <w:shd w:val="clear" w:color="auto" w:fill="FFFFFF"/>
        </w:rPr>
        <w:t xml:space="preserve">de </w:t>
      </w:r>
      <w:r w:rsidRPr="001A3095">
        <w:rPr>
          <w:rFonts w:ascii="Times New Roman" w:hAnsi="Times New Roman"/>
          <w:shd w:val="clear" w:color="auto" w:fill="FFFFFF"/>
        </w:rPr>
        <w:t>monitorais vêm ganhando espaço no contexto da realidade educacional das instituições de educação superior. A monitoria</w:t>
      </w:r>
      <w:r w:rsidR="001A3095" w:rsidRPr="001A3095">
        <w:rPr>
          <w:rFonts w:ascii="Times New Roman" w:hAnsi="Times New Roman"/>
          <w:shd w:val="clear" w:color="auto" w:fill="FFFFFF"/>
        </w:rPr>
        <w:t xml:space="preserve"> como procedimento pedagógico, tem</w:t>
      </w:r>
      <w:r w:rsidRPr="001A3095">
        <w:rPr>
          <w:rFonts w:ascii="Times New Roman" w:hAnsi="Times New Roman"/>
          <w:shd w:val="clear" w:color="auto" w:fill="FFFFFF"/>
        </w:rPr>
        <w:t xml:space="preserve"> demonstrado sua utilidade, à medida que atende às dimensões "política, técnica e humana da prática pedagógica"</w:t>
      </w:r>
      <w:r w:rsidR="001A3095">
        <w:rPr>
          <w:rFonts w:ascii="Times New Roman" w:hAnsi="Times New Roman"/>
          <w:shd w:val="clear" w:color="auto" w:fill="FFFFFF"/>
        </w:rPr>
        <w:t xml:space="preserve"> (FRISON; MORAES, 2010).</w:t>
      </w:r>
      <w:r w:rsidR="001A2236" w:rsidRPr="001A3095">
        <w:rPr>
          <w:rFonts w:ascii="Times New Roman" w:hAnsi="Times New Roman"/>
          <w:shd w:val="clear" w:color="auto" w:fill="FFFFFF"/>
        </w:rPr>
        <w:t xml:space="preserve"> </w:t>
      </w:r>
    </w:p>
    <w:p w:rsidR="00AA32DD" w:rsidRPr="001A3095" w:rsidRDefault="00AA32DD" w:rsidP="00AA32DD">
      <w:pPr>
        <w:spacing w:line="360" w:lineRule="auto"/>
        <w:jc w:val="both"/>
      </w:pPr>
      <w:r w:rsidRPr="001A3095">
        <w:tab/>
        <w:t xml:space="preserve">A disciplina trata de desenvolver habilidades nos alunos embasada em conhecimentos e práticas de modo a </w:t>
      </w:r>
      <w:r w:rsidR="001A2236" w:rsidRPr="001A3095">
        <w:t xml:space="preserve">melhor </w:t>
      </w:r>
      <w:r w:rsidRPr="001A3095">
        <w:t xml:space="preserve">compreender as particularidades fisiológicas da gestão, lactação, bem como a fisiologia digestiva do lactente; mensurar as necessidades de energia e de </w:t>
      </w:r>
      <w:proofErr w:type="spellStart"/>
      <w:r w:rsidRPr="001A3095">
        <w:t>macronutrientes</w:t>
      </w:r>
      <w:proofErr w:type="spellEnd"/>
      <w:r w:rsidRPr="001A3095">
        <w:t xml:space="preserve"> de acordo com a faixa etária, estado nutricional e momento fisiológico do grupo materno-infantil; conhecer as diversas formulações lácteas, características, indicações e as recomendações para a introdução da alimentação complementar para a população infantil; e por fim, desenvolver no aluno capacidade de análise crítica sobre as práticas de atenção ao grupo materno-infantil, em particular o aspecto nutricional e alimentar. </w:t>
      </w:r>
    </w:p>
    <w:p w:rsidR="00AA32DD" w:rsidRPr="001A3095" w:rsidRDefault="00AA32DD" w:rsidP="00AA32DD">
      <w:pPr>
        <w:spacing w:line="360" w:lineRule="auto"/>
        <w:jc w:val="both"/>
      </w:pPr>
      <w:r w:rsidRPr="001A3095">
        <w:tab/>
        <w:t xml:space="preserve">Este conteúdo curricular trará um complemento do conhecimento da nutrição na particularidade da saúde materno-infantil, sendo este grupo populacional de maior demanda nos serviços de saúde, seja no espaço da saúde coletiva , seja no espaço institucional de assistência à saúde. </w:t>
      </w:r>
    </w:p>
    <w:p w:rsidR="00AA32DD" w:rsidRPr="001A3095" w:rsidRDefault="00AA32DD" w:rsidP="00AA32DD">
      <w:pPr>
        <w:spacing w:line="360" w:lineRule="auto"/>
        <w:jc w:val="both"/>
      </w:pPr>
      <w:r w:rsidRPr="001A3095">
        <w:tab/>
        <w:t xml:space="preserve">Considerando o projeto político pedagógico do curso </w:t>
      </w:r>
      <w:r w:rsidR="001A2236" w:rsidRPr="001A3095">
        <w:t>de nutrição, a monitoria serviu</w:t>
      </w:r>
      <w:r w:rsidRPr="001A3095">
        <w:t xml:space="preserve"> de estratégia importante para o desenvolvimento de habilidades e competências junto aos alunos na sua atuação na atenção à mulher gestante, bem como às crianças em diferentes estágios de desenvolvimento. Este conteúdo curricular, por ensejar um grande volume de conteúdos i</w:t>
      </w:r>
      <w:r w:rsidR="001A2236" w:rsidRPr="001A3095">
        <w:t>nformativos e práticos prescindiu</w:t>
      </w:r>
      <w:r w:rsidRPr="001A3095">
        <w:t xml:space="preserve"> da participação de monitores, de modo a impactar </w:t>
      </w:r>
      <w:r w:rsidR="001A2236" w:rsidRPr="001A3095">
        <w:t xml:space="preserve">positivamente </w:t>
      </w:r>
      <w:r w:rsidRPr="001A3095">
        <w:t>no aprendizado do aluno, evitando assim a repetência e melhorando a sua média final de aprovação. No aspecto</w:t>
      </w:r>
      <w:r w:rsidR="001A2236" w:rsidRPr="001A3095">
        <w:t xml:space="preserve"> operacional esta iniciativa possibilitou</w:t>
      </w:r>
      <w:r w:rsidRPr="001A3095">
        <w:t xml:space="preserve"> articular teoria e prática mediada pelo monitor e </w:t>
      </w:r>
      <w:r w:rsidR="001A2236" w:rsidRPr="001A3095">
        <w:t>o docente</w:t>
      </w:r>
      <w:r w:rsidRPr="001A3095">
        <w:t xml:space="preserve">, seja em atividades de laboratório (serviços </w:t>
      </w:r>
      <w:r w:rsidRPr="001A3095">
        <w:lastRenderedPageBreak/>
        <w:t>de assistência) ou em atividades de campo (comunidades), fortalecendo assim a inter-relação professor-</w:t>
      </w:r>
      <w:r w:rsidR="001A2236" w:rsidRPr="001A3095">
        <w:t>aluno na perspectiva de melhoria</w:t>
      </w:r>
      <w:r w:rsidRPr="001A3095">
        <w:t xml:space="preserve"> </w:t>
      </w:r>
      <w:r w:rsidR="001A2236" w:rsidRPr="001A3095">
        <w:t>d</w:t>
      </w:r>
      <w:r w:rsidRPr="001A3095">
        <w:t>a aprendizagem.</w:t>
      </w:r>
    </w:p>
    <w:p w:rsidR="00AA32DD" w:rsidRPr="001A3095" w:rsidRDefault="00AA32DD" w:rsidP="00AA32DD">
      <w:pPr>
        <w:jc w:val="both"/>
        <w:rPr>
          <w:rFonts w:ascii="Times New Roman" w:hAnsi="Times New Roman"/>
          <w:b/>
        </w:rPr>
      </w:pPr>
    </w:p>
    <w:p w:rsidR="001A2236" w:rsidRPr="001A3095" w:rsidRDefault="001A2236" w:rsidP="00AA32DD">
      <w:pPr>
        <w:jc w:val="both"/>
        <w:rPr>
          <w:rFonts w:ascii="Times New Roman" w:hAnsi="Times New Roman"/>
          <w:b/>
        </w:rPr>
      </w:pPr>
    </w:p>
    <w:p w:rsidR="006075DC" w:rsidRPr="001A3095" w:rsidRDefault="006075DC" w:rsidP="006075DC">
      <w:pPr>
        <w:autoSpaceDE w:val="0"/>
        <w:autoSpaceDN w:val="0"/>
        <w:adjustRightInd w:val="0"/>
        <w:jc w:val="both"/>
        <w:rPr>
          <w:rFonts w:ascii="Times New Roman" w:hAnsi="Times New Roman"/>
          <w:b/>
        </w:rPr>
      </w:pPr>
      <w:r w:rsidRPr="001A3095">
        <w:rPr>
          <w:rFonts w:ascii="Times New Roman" w:hAnsi="Times New Roman"/>
          <w:b/>
        </w:rPr>
        <w:t>DESCRIÇÃO METODOLÓGICA</w:t>
      </w:r>
    </w:p>
    <w:p w:rsidR="00AA32DD" w:rsidRPr="001A3095" w:rsidRDefault="00AA32DD">
      <w:pPr>
        <w:rPr>
          <w:rFonts w:ascii="Times New Roman" w:hAnsi="Times New Roman"/>
        </w:rPr>
      </w:pPr>
    </w:p>
    <w:p w:rsidR="00543EB1" w:rsidRPr="001A3095" w:rsidRDefault="00543EB1" w:rsidP="00543EB1">
      <w:pPr>
        <w:autoSpaceDE w:val="0"/>
        <w:autoSpaceDN w:val="0"/>
        <w:adjustRightInd w:val="0"/>
        <w:spacing w:line="360" w:lineRule="auto"/>
        <w:ind w:firstLine="708"/>
        <w:jc w:val="both"/>
        <w:rPr>
          <w:rFonts w:ascii="Times New Roman" w:hAnsi="Times New Roman"/>
        </w:rPr>
      </w:pPr>
      <w:r w:rsidRPr="001A3095">
        <w:rPr>
          <w:rFonts w:ascii="Times New Roman" w:hAnsi="Times New Roman"/>
        </w:rPr>
        <w:t xml:space="preserve">O trabalho foi realizado no Centro de Ciências da Saúde da Universidade Federal da Paraíba, durante a vigência da monitoria 2012.2 e 2013.1. A monitoria </w:t>
      </w:r>
      <w:r w:rsidR="001A2236" w:rsidRPr="001A3095">
        <w:rPr>
          <w:rFonts w:ascii="Times New Roman" w:hAnsi="Times New Roman"/>
        </w:rPr>
        <w:t>da disciplina “Saúde materno-i</w:t>
      </w:r>
      <w:r w:rsidRPr="001A3095">
        <w:rPr>
          <w:rFonts w:ascii="Times New Roman" w:hAnsi="Times New Roman"/>
        </w:rPr>
        <w:t>nfantil</w:t>
      </w:r>
      <w:r w:rsidR="001A2236" w:rsidRPr="001A3095">
        <w:rPr>
          <w:rFonts w:ascii="Times New Roman" w:hAnsi="Times New Roman"/>
        </w:rPr>
        <w:t>”</w:t>
      </w:r>
      <w:r w:rsidRPr="001A3095">
        <w:rPr>
          <w:rFonts w:ascii="Times New Roman" w:hAnsi="Times New Roman"/>
        </w:rPr>
        <w:t xml:space="preserve"> está vinculada ao </w:t>
      </w:r>
      <w:r w:rsidR="001A2236" w:rsidRPr="001A3095">
        <w:rPr>
          <w:rFonts w:ascii="Times New Roman" w:hAnsi="Times New Roman"/>
        </w:rPr>
        <w:t>curso de graduação em ciências da nutrição</w:t>
      </w:r>
      <w:r w:rsidRPr="001A3095">
        <w:rPr>
          <w:rFonts w:ascii="Times New Roman" w:hAnsi="Times New Roman"/>
        </w:rPr>
        <w:t xml:space="preserve">. </w:t>
      </w:r>
      <w:r w:rsidR="001A3095" w:rsidRPr="001A3095">
        <w:rPr>
          <w:rFonts w:ascii="Times New Roman" w:hAnsi="Times New Roman"/>
        </w:rPr>
        <w:t>Foram</w:t>
      </w:r>
      <w:r w:rsidR="001A2236" w:rsidRPr="001A3095">
        <w:rPr>
          <w:rFonts w:ascii="Times New Roman" w:hAnsi="Times New Roman"/>
        </w:rPr>
        <w:t xml:space="preserve"> </w:t>
      </w:r>
      <w:r w:rsidR="001A3095" w:rsidRPr="001A3095">
        <w:rPr>
          <w:rFonts w:ascii="Times New Roman" w:hAnsi="Times New Roman"/>
        </w:rPr>
        <w:t>realizadas</w:t>
      </w:r>
      <w:r w:rsidR="001A2236" w:rsidRPr="001A3095">
        <w:rPr>
          <w:rFonts w:ascii="Times New Roman" w:hAnsi="Times New Roman"/>
        </w:rPr>
        <w:t xml:space="preserve"> </w:t>
      </w:r>
      <w:r w:rsidRPr="001A3095">
        <w:rPr>
          <w:rFonts w:ascii="Times New Roman" w:hAnsi="Times New Roman"/>
        </w:rPr>
        <w:t>orienta</w:t>
      </w:r>
      <w:r w:rsidR="001A2236" w:rsidRPr="001A3095">
        <w:rPr>
          <w:rFonts w:ascii="Times New Roman" w:hAnsi="Times New Roman" w:hint="eastAsia"/>
        </w:rPr>
        <w:t>ç</w:t>
      </w:r>
      <w:r w:rsidR="001A2236" w:rsidRPr="001A3095">
        <w:rPr>
          <w:rFonts w:ascii="Times New Roman" w:hAnsi="Times New Roman"/>
        </w:rPr>
        <w:t>ões</w:t>
      </w:r>
      <w:r w:rsidRPr="001A3095">
        <w:rPr>
          <w:rFonts w:ascii="Times New Roman" w:hAnsi="Times New Roman"/>
        </w:rPr>
        <w:t xml:space="preserve"> pedag</w:t>
      </w:r>
      <w:r w:rsidRPr="001A3095">
        <w:rPr>
          <w:rFonts w:ascii="Times New Roman" w:hAnsi="Times New Roman" w:hint="eastAsia"/>
        </w:rPr>
        <w:t>ó</w:t>
      </w:r>
      <w:r w:rsidRPr="001A3095">
        <w:rPr>
          <w:rFonts w:ascii="Times New Roman" w:hAnsi="Times New Roman"/>
        </w:rPr>
        <w:t>gica</w:t>
      </w:r>
      <w:r w:rsidR="001A2236" w:rsidRPr="001A3095">
        <w:rPr>
          <w:rFonts w:ascii="Times New Roman" w:hAnsi="Times New Roman"/>
        </w:rPr>
        <w:t>s</w:t>
      </w:r>
      <w:r w:rsidRPr="001A3095">
        <w:rPr>
          <w:rFonts w:ascii="Times New Roman" w:hAnsi="Times New Roman"/>
        </w:rPr>
        <w:t xml:space="preserve"> aos alunos sobre revis</w:t>
      </w:r>
      <w:r w:rsidRPr="001A3095">
        <w:rPr>
          <w:rFonts w:ascii="Times New Roman" w:hAnsi="Times New Roman" w:hint="eastAsia"/>
        </w:rPr>
        <w:t>ã</w:t>
      </w:r>
      <w:r w:rsidRPr="001A3095">
        <w:rPr>
          <w:rFonts w:ascii="Times New Roman" w:hAnsi="Times New Roman"/>
        </w:rPr>
        <w:t xml:space="preserve">o da literatura nas bases de dados indexadas; </w:t>
      </w:r>
      <w:r w:rsidR="001A2236" w:rsidRPr="001A3095">
        <w:rPr>
          <w:rFonts w:ascii="Times New Roman" w:hAnsi="Times New Roman"/>
        </w:rPr>
        <w:t>e</w:t>
      </w:r>
      <w:r w:rsidRPr="001A3095">
        <w:rPr>
          <w:rFonts w:ascii="Times New Roman" w:hAnsi="Times New Roman"/>
        </w:rPr>
        <w:t>labora</w:t>
      </w:r>
      <w:r w:rsidRPr="001A3095">
        <w:rPr>
          <w:rFonts w:ascii="Times New Roman" w:hAnsi="Times New Roman" w:hint="eastAsia"/>
        </w:rPr>
        <w:t>çã</w:t>
      </w:r>
      <w:r w:rsidRPr="001A3095">
        <w:rPr>
          <w:rFonts w:ascii="Times New Roman" w:hAnsi="Times New Roman"/>
        </w:rPr>
        <w:t>o de resenhas tem</w:t>
      </w:r>
      <w:r w:rsidRPr="001A3095">
        <w:rPr>
          <w:rFonts w:ascii="Times New Roman" w:hAnsi="Times New Roman" w:hint="eastAsia"/>
        </w:rPr>
        <w:t>á</w:t>
      </w:r>
      <w:r w:rsidRPr="001A3095">
        <w:rPr>
          <w:rFonts w:ascii="Times New Roman" w:hAnsi="Times New Roman"/>
        </w:rPr>
        <w:t xml:space="preserve">ticas; </w:t>
      </w:r>
      <w:r w:rsidR="001A2236" w:rsidRPr="001A3095">
        <w:rPr>
          <w:rFonts w:ascii="Times New Roman" w:hAnsi="Times New Roman"/>
        </w:rPr>
        <w:t>d</w:t>
      </w:r>
      <w:r w:rsidRPr="001A3095">
        <w:rPr>
          <w:rFonts w:ascii="Times New Roman" w:hAnsi="Times New Roman"/>
        </w:rPr>
        <w:t xml:space="preserve">esenvolvimento de oficinas de trabalho para desenvolver habilidades para identificar problemas relevantes na </w:t>
      </w:r>
      <w:r w:rsidRPr="001A3095">
        <w:rPr>
          <w:rFonts w:ascii="Times New Roman" w:hAnsi="Times New Roman" w:hint="eastAsia"/>
        </w:rPr>
        <w:t>á</w:t>
      </w:r>
      <w:r w:rsidRPr="001A3095">
        <w:rPr>
          <w:rFonts w:ascii="Times New Roman" w:hAnsi="Times New Roman"/>
        </w:rPr>
        <w:t xml:space="preserve">rea do estudo; </w:t>
      </w:r>
      <w:r w:rsidR="001A2236" w:rsidRPr="001A3095">
        <w:rPr>
          <w:rFonts w:ascii="Times New Roman" w:hAnsi="Times New Roman"/>
        </w:rPr>
        <w:t>r</w:t>
      </w:r>
      <w:r w:rsidRPr="001A3095">
        <w:rPr>
          <w:rFonts w:ascii="Times New Roman" w:hAnsi="Times New Roman"/>
        </w:rPr>
        <w:t>ealiza</w:t>
      </w:r>
      <w:r w:rsidRPr="001A3095">
        <w:rPr>
          <w:rFonts w:ascii="Times New Roman" w:hAnsi="Times New Roman" w:hint="eastAsia"/>
        </w:rPr>
        <w:t>çã</w:t>
      </w:r>
      <w:r w:rsidRPr="001A3095">
        <w:rPr>
          <w:rFonts w:ascii="Times New Roman" w:hAnsi="Times New Roman"/>
        </w:rPr>
        <w:t>o de visitas t</w:t>
      </w:r>
      <w:r w:rsidRPr="001A3095">
        <w:rPr>
          <w:rFonts w:ascii="Times New Roman" w:hAnsi="Times New Roman" w:hint="eastAsia"/>
        </w:rPr>
        <w:t>é</w:t>
      </w:r>
      <w:r w:rsidRPr="001A3095">
        <w:rPr>
          <w:rFonts w:ascii="Times New Roman" w:hAnsi="Times New Roman"/>
        </w:rPr>
        <w:t>cnicas em servi</w:t>
      </w:r>
      <w:r w:rsidRPr="001A3095">
        <w:rPr>
          <w:rFonts w:ascii="Times New Roman" w:hAnsi="Times New Roman" w:hint="eastAsia"/>
        </w:rPr>
        <w:t>ç</w:t>
      </w:r>
      <w:r w:rsidRPr="001A3095">
        <w:rPr>
          <w:rFonts w:ascii="Times New Roman" w:hAnsi="Times New Roman"/>
        </w:rPr>
        <w:t>os especializados para vivenciar a din</w:t>
      </w:r>
      <w:r w:rsidRPr="001A3095">
        <w:rPr>
          <w:rFonts w:ascii="Times New Roman" w:hAnsi="Times New Roman" w:hint="eastAsia"/>
        </w:rPr>
        <w:t>â</w:t>
      </w:r>
      <w:r w:rsidRPr="001A3095">
        <w:rPr>
          <w:rFonts w:ascii="Times New Roman" w:hAnsi="Times New Roman"/>
        </w:rPr>
        <w:t>mica do funcionamento operacional e organizacional;</w:t>
      </w:r>
      <w:r w:rsidR="001A2236" w:rsidRPr="001A3095">
        <w:rPr>
          <w:rFonts w:ascii="Times New Roman" w:hAnsi="Times New Roman"/>
        </w:rPr>
        <w:t xml:space="preserve"> e</w:t>
      </w:r>
      <w:r w:rsidRPr="001A3095">
        <w:rPr>
          <w:rFonts w:ascii="Times New Roman" w:hAnsi="Times New Roman"/>
        </w:rPr>
        <w:t>stimula</w:t>
      </w:r>
      <w:r w:rsidRPr="001A3095">
        <w:rPr>
          <w:rFonts w:ascii="Times New Roman" w:hAnsi="Times New Roman" w:hint="eastAsia"/>
        </w:rPr>
        <w:t>çã</w:t>
      </w:r>
      <w:r w:rsidRPr="001A3095">
        <w:rPr>
          <w:rFonts w:ascii="Times New Roman" w:hAnsi="Times New Roman"/>
        </w:rPr>
        <w:t>o para o desenvolvimento de estudo em equipe para an</w:t>
      </w:r>
      <w:r w:rsidRPr="001A3095">
        <w:rPr>
          <w:rFonts w:ascii="Times New Roman" w:hAnsi="Times New Roman" w:hint="eastAsia"/>
        </w:rPr>
        <w:t>á</w:t>
      </w:r>
      <w:r w:rsidRPr="001A3095">
        <w:rPr>
          <w:rFonts w:ascii="Times New Roman" w:hAnsi="Times New Roman"/>
        </w:rPr>
        <w:t>lise de casos cl</w:t>
      </w:r>
      <w:r w:rsidRPr="001A3095">
        <w:rPr>
          <w:rFonts w:ascii="Times New Roman" w:hAnsi="Times New Roman" w:hint="eastAsia"/>
        </w:rPr>
        <w:t>í</w:t>
      </w:r>
      <w:r w:rsidRPr="001A3095">
        <w:rPr>
          <w:rFonts w:ascii="Times New Roman" w:hAnsi="Times New Roman"/>
        </w:rPr>
        <w:t>nicos</w:t>
      </w:r>
      <w:r w:rsidR="001A2236" w:rsidRPr="001A3095">
        <w:rPr>
          <w:rFonts w:ascii="Times New Roman" w:hAnsi="Times New Roman"/>
        </w:rPr>
        <w:t xml:space="preserve">, e </w:t>
      </w:r>
      <w:r w:rsidR="001A3095" w:rsidRPr="001A3095">
        <w:rPr>
          <w:rFonts w:ascii="Times New Roman" w:hAnsi="Times New Roman"/>
        </w:rPr>
        <w:t>participação</w:t>
      </w:r>
      <w:r w:rsidR="001A2236" w:rsidRPr="001A3095">
        <w:rPr>
          <w:rFonts w:ascii="Times New Roman" w:hAnsi="Times New Roman"/>
        </w:rPr>
        <w:t xml:space="preserve"> no </w:t>
      </w:r>
      <w:r w:rsidR="001A3095" w:rsidRPr="001A3095">
        <w:rPr>
          <w:rFonts w:ascii="Times New Roman" w:hAnsi="Times New Roman"/>
        </w:rPr>
        <w:t>processo de</w:t>
      </w:r>
      <w:r w:rsidR="001A2236" w:rsidRPr="001A3095">
        <w:rPr>
          <w:rFonts w:ascii="Times New Roman" w:hAnsi="Times New Roman"/>
        </w:rPr>
        <w:t xml:space="preserve"> avaliação da aprendizagem</w:t>
      </w:r>
      <w:r w:rsidRPr="001A3095">
        <w:rPr>
          <w:rFonts w:ascii="Times New Roman" w:hAnsi="Times New Roman"/>
        </w:rPr>
        <w:t>.</w:t>
      </w:r>
    </w:p>
    <w:p w:rsidR="00543EB1" w:rsidRPr="001A3095" w:rsidRDefault="00543EB1" w:rsidP="00543EB1">
      <w:pPr>
        <w:autoSpaceDE w:val="0"/>
        <w:autoSpaceDN w:val="0"/>
        <w:adjustRightInd w:val="0"/>
        <w:spacing w:line="360" w:lineRule="auto"/>
        <w:ind w:firstLine="708"/>
        <w:jc w:val="both"/>
        <w:rPr>
          <w:rFonts w:ascii="Times New Roman" w:hAnsi="Times New Roman"/>
        </w:rPr>
      </w:pPr>
      <w:r w:rsidRPr="001A3095">
        <w:rPr>
          <w:rFonts w:ascii="Times New Roman" w:hAnsi="Times New Roman"/>
        </w:rPr>
        <w:t>As aulas foram ministradas de forma expositiva, utilizando-se de slides e data show para condução das atividades. Foi utilizada uma das salas de aula do Departamento de Nutrição para instruções e tira dúvidas, ocorrendo no período de 12 horas semanais, sempre atendendo</w:t>
      </w:r>
      <w:r w:rsidR="001A2236" w:rsidRPr="001A3095">
        <w:rPr>
          <w:rFonts w:ascii="Times New Roman" w:hAnsi="Times New Roman"/>
        </w:rPr>
        <w:t xml:space="preserve"> a disponibilidade </w:t>
      </w:r>
      <w:r w:rsidRPr="001A3095">
        <w:rPr>
          <w:rFonts w:ascii="Times New Roman" w:hAnsi="Times New Roman"/>
        </w:rPr>
        <w:t xml:space="preserve">do aluno em relação aos horários. Durante as aulas foram realizadas atividades como orientação aos alunos, discussão dos temas expostos nas aulas teóricas e práticas e auxílio na resolução de exercícios. Os alunos que frequentavam as aulas de monitoria traziam as suas dúvidas </w:t>
      </w:r>
      <w:r w:rsidR="001A2236" w:rsidRPr="001A3095">
        <w:rPr>
          <w:rFonts w:ascii="Times New Roman" w:hAnsi="Times New Roman"/>
        </w:rPr>
        <w:t xml:space="preserve">(além de plantão tira-dúvidas) </w:t>
      </w:r>
      <w:r w:rsidRPr="001A3095">
        <w:rPr>
          <w:rFonts w:ascii="Times New Roman" w:hAnsi="Times New Roman"/>
        </w:rPr>
        <w:t xml:space="preserve">para que o monitor esclarecesse, caso não conseguisse o monitor procuraria o professor ou outros meios para tentar resolver junto com os alunos. </w:t>
      </w:r>
      <w:r w:rsidR="001A2236" w:rsidRPr="001A3095">
        <w:rPr>
          <w:rFonts w:ascii="Times New Roman" w:hAnsi="Times New Roman"/>
        </w:rPr>
        <w:t>Foram formados grupos de trabalhos para visitas aos serviços de s</w:t>
      </w:r>
      <w:r w:rsidR="00FC2D58" w:rsidRPr="001A3095">
        <w:rPr>
          <w:rFonts w:ascii="Times New Roman" w:hAnsi="Times New Roman"/>
        </w:rPr>
        <w:t>aúde, e nesses espaços, juntamen</w:t>
      </w:r>
      <w:r w:rsidR="001A2236" w:rsidRPr="001A3095">
        <w:rPr>
          <w:rFonts w:ascii="Times New Roman" w:hAnsi="Times New Roman"/>
        </w:rPr>
        <w:t>te com os profissionais de saúde locais, eram observados procedimentos técnicos inerentes à disciplina na competência do profissional de nutrição.</w:t>
      </w:r>
    </w:p>
    <w:p w:rsidR="001A2236" w:rsidRPr="001A3095" w:rsidRDefault="001A2236" w:rsidP="00543EB1">
      <w:pPr>
        <w:autoSpaceDE w:val="0"/>
        <w:autoSpaceDN w:val="0"/>
        <w:adjustRightInd w:val="0"/>
        <w:spacing w:line="360" w:lineRule="auto"/>
        <w:jc w:val="both"/>
        <w:rPr>
          <w:rFonts w:ascii="Times New Roman" w:hAnsi="Times New Roman"/>
        </w:rPr>
      </w:pPr>
    </w:p>
    <w:p w:rsidR="00306654" w:rsidRPr="001A3095" w:rsidRDefault="00306654" w:rsidP="00306654">
      <w:pPr>
        <w:autoSpaceDE w:val="0"/>
        <w:autoSpaceDN w:val="0"/>
        <w:adjustRightInd w:val="0"/>
        <w:jc w:val="both"/>
        <w:rPr>
          <w:rFonts w:ascii="Times New Roman" w:hAnsi="Times New Roman"/>
          <w:b/>
        </w:rPr>
      </w:pPr>
      <w:r w:rsidRPr="001A3095">
        <w:rPr>
          <w:rFonts w:ascii="Times New Roman" w:hAnsi="Times New Roman"/>
          <w:b/>
        </w:rPr>
        <w:t>RESULTADOS</w:t>
      </w:r>
    </w:p>
    <w:p w:rsidR="00306654" w:rsidRPr="001A3095" w:rsidRDefault="00306654" w:rsidP="00543EB1">
      <w:pPr>
        <w:autoSpaceDE w:val="0"/>
        <w:autoSpaceDN w:val="0"/>
        <w:adjustRightInd w:val="0"/>
        <w:spacing w:line="360" w:lineRule="auto"/>
        <w:jc w:val="both"/>
        <w:rPr>
          <w:rFonts w:ascii="Times New Roman" w:hAnsi="Times New Roman"/>
        </w:rPr>
      </w:pPr>
    </w:p>
    <w:p w:rsidR="00960B33" w:rsidRPr="001A3095" w:rsidRDefault="00960B33" w:rsidP="00960B33">
      <w:pPr>
        <w:autoSpaceDE w:val="0"/>
        <w:autoSpaceDN w:val="0"/>
        <w:adjustRightInd w:val="0"/>
        <w:spacing w:line="360" w:lineRule="auto"/>
        <w:ind w:firstLine="708"/>
        <w:jc w:val="both"/>
        <w:rPr>
          <w:rFonts w:ascii="Times New Roman" w:hAnsi="Times New Roman"/>
        </w:rPr>
      </w:pPr>
      <w:r w:rsidRPr="001A3095">
        <w:rPr>
          <w:rFonts w:ascii="Times New Roman" w:hAnsi="Times New Roman"/>
        </w:rPr>
        <w:t xml:space="preserve">De imediato pôde-se observar que o conteúdo exposto para os alunos da disciplina </w:t>
      </w:r>
      <w:r w:rsidR="001A2236" w:rsidRPr="001A3095">
        <w:rPr>
          <w:rFonts w:ascii="Times New Roman" w:hAnsi="Times New Roman"/>
        </w:rPr>
        <w:t>saúde materno-i</w:t>
      </w:r>
      <w:r w:rsidRPr="001A3095">
        <w:rPr>
          <w:rFonts w:ascii="Times New Roman" w:hAnsi="Times New Roman"/>
        </w:rPr>
        <w:t>nfantil obteve bons índices de aproveitamento do que foi apresentado. Dos</w:t>
      </w:r>
      <w:proofErr w:type="gramStart"/>
      <w:r w:rsidRPr="001A3095">
        <w:rPr>
          <w:rFonts w:ascii="Times New Roman" w:hAnsi="Times New Roman"/>
        </w:rPr>
        <w:t xml:space="preserve">  </w:t>
      </w:r>
      <w:proofErr w:type="gramEnd"/>
      <w:r w:rsidRPr="001A3095">
        <w:rPr>
          <w:rFonts w:ascii="Times New Roman" w:hAnsi="Times New Roman"/>
        </w:rPr>
        <w:t>alunos avaliados, cerca de 90% relataram um bom aproveitamento da monitoria</w:t>
      </w:r>
      <w:r w:rsidR="001A2236" w:rsidRPr="001A3095">
        <w:rPr>
          <w:rFonts w:ascii="Times New Roman" w:hAnsi="Times New Roman"/>
        </w:rPr>
        <w:t>, obtendo uma média geral de 8,8</w:t>
      </w:r>
      <w:r w:rsidRPr="001A3095">
        <w:rPr>
          <w:rFonts w:ascii="Times New Roman" w:hAnsi="Times New Roman"/>
        </w:rPr>
        <w:t xml:space="preserve">. </w:t>
      </w:r>
    </w:p>
    <w:p w:rsidR="001A2236" w:rsidRPr="001A3095" w:rsidRDefault="00960B33" w:rsidP="001A3095">
      <w:pPr>
        <w:autoSpaceDE w:val="0"/>
        <w:autoSpaceDN w:val="0"/>
        <w:adjustRightInd w:val="0"/>
        <w:spacing w:line="360" w:lineRule="auto"/>
        <w:ind w:firstLine="708"/>
        <w:jc w:val="both"/>
        <w:rPr>
          <w:rFonts w:ascii="Times New Roman" w:hAnsi="Times New Roman"/>
        </w:rPr>
      </w:pPr>
      <w:r w:rsidRPr="001A3095">
        <w:rPr>
          <w:rFonts w:ascii="Times New Roman" w:hAnsi="Times New Roman"/>
        </w:rPr>
        <w:lastRenderedPageBreak/>
        <w:t xml:space="preserve">A utilização deste sistema de apresentação oral, pelo monitor, enriquece o pacote de conhecimento do aluno, condiciona o monitor ao interesse pela docência no despertar de sua atuação no ato das exposições e perguntas, bem como fortalece o empenho do orientador com suas atividades acadêmicas. Temas ligados </w:t>
      </w:r>
      <w:r w:rsidR="001A3095" w:rsidRPr="001A3095">
        <w:rPr>
          <w:rFonts w:ascii="Times New Roman" w:hAnsi="Times New Roman"/>
        </w:rPr>
        <w:t>à</w:t>
      </w:r>
      <w:r w:rsidRPr="001A3095">
        <w:rPr>
          <w:rFonts w:ascii="Times New Roman" w:hAnsi="Times New Roman"/>
        </w:rPr>
        <w:t xml:space="preserve"> disciplina, que não fazem parte do plano de curso, de forma geral, podem ser apresentados aos alunos pelo monitor com prévia supervisão do orientador, para que ao longo do exercício de sua monitoria tenhamos uma considerável evolução do aprendizado e do rendimento escolar. As experiências com a docên</w:t>
      </w:r>
      <w:r w:rsidR="001A2236" w:rsidRPr="001A3095">
        <w:rPr>
          <w:rFonts w:ascii="Times New Roman" w:hAnsi="Times New Roman"/>
        </w:rPr>
        <w:t>cia e as habilidades didáticas</w:t>
      </w:r>
      <w:r w:rsidRPr="001A3095">
        <w:rPr>
          <w:rFonts w:ascii="Times New Roman" w:hAnsi="Times New Roman"/>
        </w:rPr>
        <w:t xml:space="preserve">, atitude </w:t>
      </w:r>
      <w:r w:rsidR="001A2236" w:rsidRPr="001A3095">
        <w:rPr>
          <w:rFonts w:ascii="Times New Roman" w:hAnsi="Times New Roman"/>
        </w:rPr>
        <w:t>d</w:t>
      </w:r>
      <w:r w:rsidRPr="001A3095">
        <w:rPr>
          <w:rFonts w:ascii="Times New Roman" w:hAnsi="Times New Roman"/>
        </w:rPr>
        <w:t>e lidera</w:t>
      </w:r>
      <w:r w:rsidR="001A2236" w:rsidRPr="001A3095">
        <w:rPr>
          <w:rFonts w:ascii="Times New Roman" w:hAnsi="Times New Roman"/>
        </w:rPr>
        <w:t xml:space="preserve">nça </w:t>
      </w:r>
      <w:r w:rsidRPr="001A3095">
        <w:rPr>
          <w:rFonts w:ascii="Times New Roman" w:hAnsi="Times New Roman"/>
        </w:rPr>
        <w:t>são de suma importância para formação do profissional</w:t>
      </w:r>
      <w:r w:rsidR="001A2236" w:rsidRPr="001A3095">
        <w:rPr>
          <w:rFonts w:ascii="Times New Roman" w:hAnsi="Times New Roman"/>
        </w:rPr>
        <w:t xml:space="preserve"> e para a experiência docente</w:t>
      </w:r>
      <w:r w:rsidRPr="001A3095">
        <w:rPr>
          <w:rFonts w:ascii="Times New Roman" w:hAnsi="Times New Roman"/>
        </w:rPr>
        <w:t>.</w:t>
      </w:r>
    </w:p>
    <w:p w:rsidR="001A2236" w:rsidRPr="001A3095" w:rsidRDefault="001A2236" w:rsidP="00EE01EA">
      <w:pPr>
        <w:autoSpaceDE w:val="0"/>
        <w:autoSpaceDN w:val="0"/>
        <w:adjustRightInd w:val="0"/>
        <w:jc w:val="both"/>
        <w:rPr>
          <w:rFonts w:ascii="Times New Roman" w:hAnsi="Times New Roman"/>
          <w:b/>
        </w:rPr>
      </w:pPr>
    </w:p>
    <w:p w:rsidR="00EE01EA" w:rsidRPr="001A3095" w:rsidRDefault="00EE01EA" w:rsidP="00EE01EA">
      <w:pPr>
        <w:autoSpaceDE w:val="0"/>
        <w:autoSpaceDN w:val="0"/>
        <w:adjustRightInd w:val="0"/>
        <w:jc w:val="both"/>
        <w:rPr>
          <w:rFonts w:ascii="Times New Roman" w:hAnsi="Times New Roman"/>
          <w:b/>
        </w:rPr>
      </w:pPr>
      <w:r w:rsidRPr="001A3095">
        <w:rPr>
          <w:rFonts w:ascii="Times New Roman" w:hAnsi="Times New Roman"/>
          <w:b/>
        </w:rPr>
        <w:t>CONCLUSÃO</w:t>
      </w:r>
    </w:p>
    <w:p w:rsidR="001A2236" w:rsidRPr="001A3095" w:rsidRDefault="001A2236" w:rsidP="00960B33">
      <w:pPr>
        <w:autoSpaceDE w:val="0"/>
        <w:autoSpaceDN w:val="0"/>
        <w:adjustRightInd w:val="0"/>
        <w:spacing w:line="360" w:lineRule="auto"/>
        <w:jc w:val="both"/>
        <w:rPr>
          <w:rFonts w:ascii="Times New Roman" w:hAnsi="Times New Roman"/>
        </w:rPr>
      </w:pPr>
    </w:p>
    <w:p w:rsidR="001A2236" w:rsidRPr="001A3095" w:rsidRDefault="00EE01EA" w:rsidP="00EE01EA">
      <w:pPr>
        <w:spacing w:line="360" w:lineRule="auto"/>
        <w:jc w:val="both"/>
        <w:rPr>
          <w:rFonts w:ascii="Times New Roman" w:hAnsi="Times New Roman"/>
        </w:rPr>
      </w:pPr>
      <w:r w:rsidRPr="001A3095">
        <w:rPr>
          <w:rFonts w:ascii="Times New Roman" w:hAnsi="Times New Roman"/>
        </w:rPr>
        <w:tab/>
      </w:r>
      <w:r w:rsidR="001A2236" w:rsidRPr="001A3095">
        <w:rPr>
          <w:rFonts w:ascii="Times New Roman" w:hAnsi="Times New Roman"/>
        </w:rPr>
        <w:t xml:space="preserve">A experiência de atividade </w:t>
      </w:r>
      <w:r w:rsidRPr="001A3095">
        <w:rPr>
          <w:rFonts w:ascii="Times New Roman" w:hAnsi="Times New Roman"/>
        </w:rPr>
        <w:t xml:space="preserve">de monitoria </w:t>
      </w:r>
      <w:r w:rsidR="001A2236" w:rsidRPr="001A3095">
        <w:rPr>
          <w:rFonts w:ascii="Times New Roman" w:hAnsi="Times New Roman"/>
        </w:rPr>
        <w:t>permitiu vivenciar o processo de ensino docente; apresentou eficiência</w:t>
      </w:r>
      <w:r w:rsidRPr="001A3095">
        <w:rPr>
          <w:rFonts w:ascii="Times New Roman" w:hAnsi="Times New Roman"/>
        </w:rPr>
        <w:t xml:space="preserve"> no processo de </w:t>
      </w:r>
      <w:r w:rsidR="001A2236" w:rsidRPr="001A3095">
        <w:rPr>
          <w:rFonts w:ascii="Times New Roman" w:hAnsi="Times New Roman"/>
        </w:rPr>
        <w:t>ensino-</w:t>
      </w:r>
      <w:r w:rsidRPr="001A3095">
        <w:rPr>
          <w:rFonts w:ascii="Times New Roman" w:hAnsi="Times New Roman"/>
        </w:rPr>
        <w:t xml:space="preserve">aprendizagem dos alunos, proporcionando a </w:t>
      </w:r>
      <w:r w:rsidR="001A2236" w:rsidRPr="001A3095">
        <w:rPr>
          <w:rFonts w:ascii="Times New Roman" w:hAnsi="Times New Roman"/>
        </w:rPr>
        <w:t xml:space="preserve">construção </w:t>
      </w:r>
      <w:r w:rsidRPr="001A3095">
        <w:rPr>
          <w:rFonts w:ascii="Times New Roman" w:hAnsi="Times New Roman"/>
        </w:rPr>
        <w:t xml:space="preserve">de novos saberes através da renovação </w:t>
      </w:r>
      <w:r w:rsidR="001A2236" w:rsidRPr="001A3095">
        <w:rPr>
          <w:rFonts w:ascii="Times New Roman" w:hAnsi="Times New Roman"/>
        </w:rPr>
        <w:t xml:space="preserve">de pensamentos e contribuindo no processo de formação do profissional de nutrição no âmbito da UFPB. Pela experiência da </w:t>
      </w:r>
      <w:r w:rsidR="001A3095" w:rsidRPr="001A3095">
        <w:rPr>
          <w:rFonts w:ascii="Times New Roman" w:hAnsi="Times New Roman"/>
        </w:rPr>
        <w:t>monitoria</w:t>
      </w:r>
      <w:r w:rsidR="001A2236" w:rsidRPr="001A3095">
        <w:rPr>
          <w:rFonts w:ascii="Times New Roman" w:hAnsi="Times New Roman"/>
        </w:rPr>
        <w:t xml:space="preserve"> é possível vislumbrar um campo de habilidade de formação de iniciação à docência, motivadora</w:t>
      </w:r>
      <w:r w:rsidR="0084742E" w:rsidRPr="001A3095">
        <w:rPr>
          <w:rFonts w:ascii="Times New Roman" w:hAnsi="Times New Roman"/>
        </w:rPr>
        <w:t xml:space="preserve"> </w:t>
      </w:r>
      <w:r w:rsidR="001A2236" w:rsidRPr="001A3095">
        <w:rPr>
          <w:rFonts w:ascii="Times New Roman" w:hAnsi="Times New Roman"/>
        </w:rPr>
        <w:t>como oportunidade de trabalho profissional.</w:t>
      </w:r>
    </w:p>
    <w:p w:rsidR="001A2236" w:rsidRPr="001A3095" w:rsidRDefault="001A2236" w:rsidP="008B0FE3">
      <w:pPr>
        <w:autoSpaceDE w:val="0"/>
        <w:autoSpaceDN w:val="0"/>
        <w:adjustRightInd w:val="0"/>
        <w:jc w:val="both"/>
        <w:rPr>
          <w:rFonts w:ascii="Times New Roman" w:hAnsi="Times New Roman"/>
          <w:b/>
        </w:rPr>
      </w:pPr>
    </w:p>
    <w:p w:rsidR="008B0FE3" w:rsidRPr="001A3095" w:rsidRDefault="008B0FE3" w:rsidP="008B0FE3">
      <w:pPr>
        <w:autoSpaceDE w:val="0"/>
        <w:autoSpaceDN w:val="0"/>
        <w:adjustRightInd w:val="0"/>
        <w:jc w:val="both"/>
        <w:rPr>
          <w:rFonts w:ascii="Times New Roman" w:hAnsi="Times New Roman"/>
          <w:b/>
        </w:rPr>
      </w:pPr>
      <w:r w:rsidRPr="001A3095">
        <w:rPr>
          <w:rFonts w:ascii="Times New Roman" w:hAnsi="Times New Roman"/>
          <w:b/>
        </w:rPr>
        <w:t>REFÊRENCIAS</w:t>
      </w:r>
    </w:p>
    <w:p w:rsidR="008B0FE3" w:rsidRPr="001A3095" w:rsidRDefault="008B0FE3" w:rsidP="00EE01EA">
      <w:pPr>
        <w:spacing w:line="360" w:lineRule="auto"/>
        <w:jc w:val="both"/>
        <w:rPr>
          <w:rFonts w:ascii="Times New Roman" w:hAnsi="Times New Roman"/>
        </w:rPr>
      </w:pPr>
    </w:p>
    <w:p w:rsidR="008B0FE3" w:rsidRPr="001A3095" w:rsidRDefault="008B0FE3" w:rsidP="00224BD0">
      <w:pPr>
        <w:spacing w:line="360" w:lineRule="auto"/>
        <w:ind w:right="-568"/>
        <w:jc w:val="both"/>
        <w:rPr>
          <w:rFonts w:ascii="Times New Roman" w:hAnsi="Times New Roman"/>
        </w:rPr>
      </w:pPr>
      <w:r w:rsidRPr="001A3095">
        <w:rPr>
          <w:rFonts w:ascii="Times New Roman" w:hAnsi="Times New Roman"/>
        </w:rPr>
        <w:t>ACCIOLY, E. Nutrição em Obstetrícia e Pediatria. Rio de Janeiro: Cultura Médica, 2009.</w:t>
      </w:r>
    </w:p>
    <w:p w:rsidR="008B0FE3" w:rsidRPr="001A3095" w:rsidRDefault="008B0FE3" w:rsidP="00224BD0">
      <w:pPr>
        <w:spacing w:line="360" w:lineRule="auto"/>
        <w:ind w:right="-568"/>
        <w:jc w:val="both"/>
        <w:rPr>
          <w:rFonts w:ascii="Times New Roman" w:hAnsi="Times New Roman"/>
        </w:rPr>
      </w:pPr>
      <w:r w:rsidRPr="001A3095">
        <w:rPr>
          <w:rFonts w:ascii="Times New Roman" w:hAnsi="Times New Roman"/>
        </w:rPr>
        <w:t xml:space="preserve">BABIAK, RMV. Introdução ao diagnóstico nutricional. Editora Atheneu; </w:t>
      </w:r>
      <w:proofErr w:type="gramStart"/>
      <w:r w:rsidRPr="001A3095">
        <w:rPr>
          <w:rFonts w:ascii="Times New Roman" w:hAnsi="Times New Roman"/>
        </w:rPr>
        <w:t>1</w:t>
      </w:r>
      <w:r w:rsidRPr="001A3095">
        <w:rPr>
          <w:rFonts w:ascii="Times New Roman" w:hAnsi="Times New Roman"/>
          <w:vertAlign w:val="superscript"/>
        </w:rPr>
        <w:t>a</w:t>
      </w:r>
      <w:r w:rsidRPr="001A3095">
        <w:rPr>
          <w:rFonts w:ascii="Times New Roman" w:hAnsi="Times New Roman"/>
        </w:rPr>
        <w:t>.</w:t>
      </w:r>
      <w:proofErr w:type="gramEnd"/>
      <w:r w:rsidRPr="001A3095">
        <w:rPr>
          <w:rFonts w:ascii="Times New Roman" w:hAnsi="Times New Roman"/>
        </w:rPr>
        <w:t xml:space="preserve">  </w:t>
      </w:r>
      <w:proofErr w:type="gramStart"/>
      <w:r w:rsidRPr="001A3095">
        <w:rPr>
          <w:rFonts w:ascii="Times New Roman" w:hAnsi="Times New Roman"/>
        </w:rPr>
        <w:t>edição</w:t>
      </w:r>
      <w:proofErr w:type="gramEnd"/>
      <w:r w:rsidRPr="001A3095">
        <w:rPr>
          <w:rFonts w:ascii="Times New Roman" w:hAnsi="Times New Roman"/>
        </w:rPr>
        <w:t>. São Paulo, 1997.</w:t>
      </w:r>
    </w:p>
    <w:p w:rsidR="008B0FE3" w:rsidRPr="001A3095" w:rsidRDefault="008B0FE3" w:rsidP="00224BD0">
      <w:pPr>
        <w:spacing w:line="360" w:lineRule="auto"/>
        <w:ind w:right="-568"/>
        <w:jc w:val="both"/>
        <w:rPr>
          <w:rFonts w:ascii="Times New Roman" w:hAnsi="Times New Roman"/>
        </w:rPr>
      </w:pPr>
      <w:r w:rsidRPr="001A3095">
        <w:rPr>
          <w:rFonts w:ascii="Times New Roman" w:hAnsi="Times New Roman"/>
        </w:rPr>
        <w:t xml:space="preserve">BRASIL. Ministério da Saúde. Assistência pré-natal: manual técnico; </w:t>
      </w:r>
      <w:proofErr w:type="gramStart"/>
      <w:r w:rsidRPr="001A3095">
        <w:rPr>
          <w:rFonts w:ascii="Times New Roman" w:hAnsi="Times New Roman"/>
        </w:rPr>
        <w:t>3</w:t>
      </w:r>
      <w:r w:rsidRPr="001A3095">
        <w:rPr>
          <w:rFonts w:ascii="Times New Roman" w:hAnsi="Times New Roman"/>
          <w:vertAlign w:val="superscript"/>
        </w:rPr>
        <w:t>a</w:t>
      </w:r>
      <w:r w:rsidRPr="001A3095">
        <w:rPr>
          <w:rFonts w:ascii="Times New Roman" w:hAnsi="Times New Roman"/>
        </w:rPr>
        <w:t>.</w:t>
      </w:r>
      <w:proofErr w:type="gramEnd"/>
      <w:r w:rsidRPr="001A3095">
        <w:rPr>
          <w:rFonts w:ascii="Times New Roman" w:hAnsi="Times New Roman"/>
        </w:rPr>
        <w:t xml:space="preserve"> </w:t>
      </w:r>
      <w:proofErr w:type="gramStart"/>
      <w:r w:rsidRPr="001A3095">
        <w:rPr>
          <w:rFonts w:ascii="Times New Roman" w:hAnsi="Times New Roman"/>
        </w:rPr>
        <w:t>edição</w:t>
      </w:r>
      <w:proofErr w:type="gramEnd"/>
      <w:r w:rsidRPr="001A3095">
        <w:rPr>
          <w:rFonts w:ascii="Times New Roman" w:hAnsi="Times New Roman"/>
        </w:rPr>
        <w:t>. Secretaria de Políticas de Saúde. Brasília, 2006.</w:t>
      </w:r>
    </w:p>
    <w:p w:rsidR="008B0FE3" w:rsidRPr="001A3095" w:rsidRDefault="008B0FE3" w:rsidP="00224BD0">
      <w:pPr>
        <w:spacing w:line="360" w:lineRule="auto"/>
        <w:ind w:right="-568"/>
        <w:jc w:val="both"/>
        <w:rPr>
          <w:rFonts w:ascii="Times New Roman" w:hAnsi="Times New Roman"/>
        </w:rPr>
      </w:pPr>
      <w:r w:rsidRPr="001A3095">
        <w:rPr>
          <w:rFonts w:ascii="Times New Roman" w:hAnsi="Times New Roman"/>
        </w:rPr>
        <w:t>BRASIL. Ministério da Saúde. Organização Pan Americana de Saúde. Guia alimentar para crianças menores de dois anos. Secretaria de Políticas de Saúde. Brasília, 2002. (Série A. Normas e manuais técnicos; n. 107).</w:t>
      </w:r>
    </w:p>
    <w:p w:rsidR="008B0FE3" w:rsidRPr="001A3095" w:rsidRDefault="008B0FE3" w:rsidP="00224BD0">
      <w:pPr>
        <w:spacing w:line="360" w:lineRule="auto"/>
        <w:jc w:val="both"/>
        <w:rPr>
          <w:rFonts w:ascii="Times New Roman" w:hAnsi="Times New Roman"/>
        </w:rPr>
      </w:pPr>
      <w:r w:rsidRPr="001A3095">
        <w:rPr>
          <w:rFonts w:ascii="Times New Roman" w:hAnsi="Times New Roman"/>
        </w:rPr>
        <w:t xml:space="preserve">EUCLYDES, MP. Nutrição do lactente: base científica para uma alimentação adequada. Editora UFMG; </w:t>
      </w:r>
      <w:proofErr w:type="gramStart"/>
      <w:r w:rsidRPr="001A3095">
        <w:rPr>
          <w:rFonts w:ascii="Times New Roman" w:hAnsi="Times New Roman"/>
        </w:rPr>
        <w:t>2</w:t>
      </w:r>
      <w:r w:rsidRPr="001A3095">
        <w:rPr>
          <w:rFonts w:ascii="Times New Roman" w:hAnsi="Times New Roman"/>
          <w:vertAlign w:val="superscript"/>
        </w:rPr>
        <w:t>a</w:t>
      </w:r>
      <w:r w:rsidRPr="001A3095">
        <w:rPr>
          <w:rFonts w:ascii="Times New Roman" w:hAnsi="Times New Roman"/>
        </w:rPr>
        <w:t>.</w:t>
      </w:r>
      <w:proofErr w:type="gramEnd"/>
      <w:r w:rsidRPr="001A3095">
        <w:rPr>
          <w:rFonts w:ascii="Times New Roman" w:hAnsi="Times New Roman"/>
        </w:rPr>
        <w:t xml:space="preserve"> </w:t>
      </w:r>
      <w:proofErr w:type="gramStart"/>
      <w:r w:rsidRPr="001A3095">
        <w:rPr>
          <w:rFonts w:ascii="Times New Roman" w:hAnsi="Times New Roman"/>
        </w:rPr>
        <w:t>edição</w:t>
      </w:r>
      <w:proofErr w:type="gramEnd"/>
      <w:r w:rsidRPr="001A3095">
        <w:rPr>
          <w:rFonts w:ascii="Times New Roman" w:hAnsi="Times New Roman"/>
        </w:rPr>
        <w:t>. Minas Gerais, 2000.</w:t>
      </w:r>
    </w:p>
    <w:p w:rsidR="008B0FE3" w:rsidRDefault="008B0FE3" w:rsidP="00224BD0">
      <w:pPr>
        <w:spacing w:line="360" w:lineRule="auto"/>
        <w:jc w:val="both"/>
        <w:rPr>
          <w:rFonts w:ascii="Times New Roman" w:hAnsi="Times New Roman"/>
        </w:rPr>
      </w:pPr>
      <w:r w:rsidRPr="001A3095">
        <w:rPr>
          <w:rFonts w:ascii="Times New Roman" w:hAnsi="Times New Roman"/>
        </w:rPr>
        <w:t xml:space="preserve">FISBERG, M.; </w:t>
      </w:r>
      <w:proofErr w:type="gramStart"/>
      <w:r w:rsidRPr="001A3095">
        <w:rPr>
          <w:rFonts w:ascii="Times New Roman" w:hAnsi="Times New Roman"/>
        </w:rPr>
        <w:t>et</w:t>
      </w:r>
      <w:proofErr w:type="gramEnd"/>
      <w:r w:rsidRPr="001A3095">
        <w:rPr>
          <w:rFonts w:ascii="Times New Roman" w:hAnsi="Times New Roman"/>
        </w:rPr>
        <w:t xml:space="preserve"> al. Hábitos alimentares na adolescência. </w:t>
      </w:r>
      <w:r w:rsidRPr="0084742E">
        <w:rPr>
          <w:rFonts w:ascii="Times New Roman" w:hAnsi="Times New Roman"/>
          <w:b/>
        </w:rPr>
        <w:t>Pediatria Moderna</w:t>
      </w:r>
      <w:r w:rsidR="0084742E">
        <w:rPr>
          <w:rFonts w:ascii="Times New Roman" w:hAnsi="Times New Roman"/>
        </w:rPr>
        <w:t>,</w:t>
      </w:r>
      <w:r w:rsidRPr="001A3095">
        <w:rPr>
          <w:rFonts w:ascii="Times New Roman" w:hAnsi="Times New Roman"/>
        </w:rPr>
        <w:t xml:space="preserve"> v. 36; n. 11; p. 724-734. São Paulo, 2000.</w:t>
      </w:r>
    </w:p>
    <w:p w:rsidR="001A3095" w:rsidRPr="00206EDE" w:rsidRDefault="001A3095" w:rsidP="00224BD0">
      <w:pPr>
        <w:spacing w:line="360" w:lineRule="auto"/>
        <w:jc w:val="both"/>
        <w:rPr>
          <w:rFonts w:ascii="Times New Roman" w:hAnsi="Times New Roman"/>
        </w:rPr>
      </w:pPr>
      <w:r w:rsidRPr="00206EDE">
        <w:rPr>
          <w:rFonts w:ascii="Times New Roman" w:hAnsi="Times New Roman"/>
        </w:rPr>
        <w:t>FRISON, L.M.B.; MORAES, M.A.</w:t>
      </w:r>
      <w:r w:rsidR="00206EDE" w:rsidRPr="00206EDE">
        <w:rPr>
          <w:rFonts w:ascii="Times New Roman" w:hAnsi="Times New Roman"/>
        </w:rPr>
        <w:t>C. As pr</w:t>
      </w:r>
      <w:r w:rsidR="00206EDE">
        <w:rPr>
          <w:rFonts w:ascii="Times New Roman" w:hAnsi="Times New Roman"/>
        </w:rPr>
        <w:t xml:space="preserve">áticas de Monitoria como </w:t>
      </w:r>
      <w:proofErr w:type="spellStart"/>
      <w:r w:rsidR="00206EDE">
        <w:rPr>
          <w:rFonts w:ascii="Times New Roman" w:hAnsi="Times New Roman"/>
        </w:rPr>
        <w:t>possibilitadoras</w:t>
      </w:r>
      <w:proofErr w:type="spellEnd"/>
      <w:r w:rsidR="00206EDE">
        <w:rPr>
          <w:rFonts w:ascii="Times New Roman" w:hAnsi="Times New Roman"/>
        </w:rPr>
        <w:t xml:space="preserve"> dos </w:t>
      </w:r>
      <w:r w:rsidR="00206EDE">
        <w:rPr>
          <w:rFonts w:ascii="Times New Roman" w:hAnsi="Times New Roman"/>
        </w:rPr>
        <w:lastRenderedPageBreak/>
        <w:t xml:space="preserve">processos de </w:t>
      </w:r>
      <w:proofErr w:type="spellStart"/>
      <w:r w:rsidR="00206EDE">
        <w:rPr>
          <w:rFonts w:ascii="Times New Roman" w:hAnsi="Times New Roman"/>
        </w:rPr>
        <w:t>autorregulação</w:t>
      </w:r>
      <w:proofErr w:type="spellEnd"/>
      <w:r w:rsidR="00206EDE">
        <w:rPr>
          <w:rFonts w:ascii="Times New Roman" w:hAnsi="Times New Roman"/>
        </w:rPr>
        <w:t xml:space="preserve"> das aprendizagens discentes. </w:t>
      </w:r>
      <w:proofErr w:type="spellStart"/>
      <w:r w:rsidR="00206EDE" w:rsidRPr="00206EDE">
        <w:rPr>
          <w:rFonts w:ascii="Times New Roman" w:hAnsi="Times New Roman"/>
          <w:b/>
        </w:rPr>
        <w:t>Poiesis</w:t>
      </w:r>
      <w:proofErr w:type="spellEnd"/>
      <w:r w:rsidR="00206EDE" w:rsidRPr="00206EDE">
        <w:rPr>
          <w:rFonts w:ascii="Times New Roman" w:hAnsi="Times New Roman"/>
          <w:b/>
        </w:rPr>
        <w:t xml:space="preserve"> Pedagógica</w:t>
      </w:r>
      <w:r w:rsidR="00206EDE">
        <w:rPr>
          <w:rFonts w:ascii="Times New Roman" w:hAnsi="Times New Roman"/>
        </w:rPr>
        <w:t>, v.8, n.2, ago./dez., 2010.</w:t>
      </w:r>
    </w:p>
    <w:p w:rsidR="008B0FE3" w:rsidRPr="001A3095" w:rsidRDefault="008B0FE3" w:rsidP="00224BD0">
      <w:pPr>
        <w:spacing w:line="360" w:lineRule="auto"/>
        <w:jc w:val="both"/>
        <w:rPr>
          <w:rFonts w:ascii="Times New Roman" w:hAnsi="Times New Roman"/>
        </w:rPr>
      </w:pPr>
      <w:r w:rsidRPr="001A3095">
        <w:rPr>
          <w:rFonts w:ascii="Times New Roman" w:hAnsi="Times New Roman"/>
        </w:rPr>
        <w:t>GOULART, RMM</w:t>
      </w:r>
      <w:proofErr w:type="gramStart"/>
      <w:r w:rsidRPr="001A3095">
        <w:rPr>
          <w:rFonts w:ascii="Times New Roman" w:hAnsi="Times New Roman"/>
        </w:rPr>
        <w:t>.;</w:t>
      </w:r>
      <w:proofErr w:type="gramEnd"/>
      <w:r w:rsidRPr="001A3095">
        <w:rPr>
          <w:rFonts w:ascii="Times New Roman" w:hAnsi="Times New Roman"/>
        </w:rPr>
        <w:t xml:space="preserve"> BRACARELLO, LP. Fórmulas lácteas infantis e sua utilização em crianças menores de 12 meses. </w:t>
      </w:r>
      <w:r w:rsidRPr="0084742E">
        <w:rPr>
          <w:rFonts w:ascii="Times New Roman" w:hAnsi="Times New Roman"/>
          <w:b/>
        </w:rPr>
        <w:t>Pediatria Moderna</w:t>
      </w:r>
      <w:r w:rsidR="0084742E">
        <w:rPr>
          <w:rFonts w:ascii="Times New Roman" w:hAnsi="Times New Roman"/>
        </w:rPr>
        <w:t>,</w:t>
      </w:r>
      <w:r w:rsidRPr="001A3095">
        <w:rPr>
          <w:rFonts w:ascii="Times New Roman" w:hAnsi="Times New Roman"/>
        </w:rPr>
        <w:t xml:space="preserve"> v. 36; n. 8; p. 529-540. São Paulo, 2000.</w:t>
      </w:r>
    </w:p>
    <w:p w:rsidR="008B0FE3" w:rsidRPr="001A3095" w:rsidRDefault="008B0FE3" w:rsidP="00224BD0">
      <w:pPr>
        <w:spacing w:line="360" w:lineRule="auto"/>
        <w:jc w:val="both"/>
        <w:rPr>
          <w:rFonts w:ascii="Times New Roman" w:hAnsi="Times New Roman"/>
        </w:rPr>
      </w:pPr>
      <w:r w:rsidRPr="001A3095">
        <w:rPr>
          <w:rFonts w:ascii="Times New Roman" w:hAnsi="Times New Roman"/>
        </w:rPr>
        <w:t xml:space="preserve">GAYTON, A.; HALL, JE.  Tratado de fisiologia humana. Editora Guanabara Koogan; </w:t>
      </w:r>
      <w:proofErr w:type="gramStart"/>
      <w:r w:rsidRPr="001A3095">
        <w:rPr>
          <w:rFonts w:ascii="Times New Roman" w:hAnsi="Times New Roman"/>
        </w:rPr>
        <w:t>9</w:t>
      </w:r>
      <w:r w:rsidRPr="001A3095">
        <w:rPr>
          <w:rFonts w:ascii="Times New Roman" w:hAnsi="Times New Roman"/>
          <w:vertAlign w:val="superscript"/>
        </w:rPr>
        <w:t>a</w:t>
      </w:r>
      <w:r w:rsidRPr="001A3095">
        <w:rPr>
          <w:rFonts w:ascii="Times New Roman" w:hAnsi="Times New Roman"/>
        </w:rPr>
        <w:t>.</w:t>
      </w:r>
      <w:proofErr w:type="gramEnd"/>
      <w:r w:rsidRPr="001A3095">
        <w:rPr>
          <w:rFonts w:ascii="Times New Roman" w:hAnsi="Times New Roman"/>
        </w:rPr>
        <w:t xml:space="preserve"> </w:t>
      </w:r>
      <w:proofErr w:type="gramStart"/>
      <w:r w:rsidRPr="001A3095">
        <w:rPr>
          <w:rFonts w:ascii="Times New Roman" w:hAnsi="Times New Roman"/>
        </w:rPr>
        <w:t>edição</w:t>
      </w:r>
      <w:proofErr w:type="gramEnd"/>
      <w:r w:rsidRPr="001A3095">
        <w:rPr>
          <w:rFonts w:ascii="Times New Roman" w:hAnsi="Times New Roman"/>
        </w:rPr>
        <w:t>. Rio de Janeiro, 1997.</w:t>
      </w:r>
    </w:p>
    <w:p w:rsidR="008B0FE3" w:rsidRPr="001A3095" w:rsidRDefault="001A3095" w:rsidP="00224BD0">
      <w:pPr>
        <w:spacing w:line="360" w:lineRule="auto"/>
        <w:jc w:val="both"/>
        <w:rPr>
          <w:rFonts w:ascii="Times New Roman" w:hAnsi="Times New Roman"/>
        </w:rPr>
      </w:pPr>
      <w:r>
        <w:rPr>
          <w:rFonts w:ascii="Times New Roman" w:hAnsi="Times New Roman"/>
        </w:rPr>
        <w:t xml:space="preserve"> MAHAN, LK</w:t>
      </w:r>
      <w:proofErr w:type="gramStart"/>
      <w:r>
        <w:rPr>
          <w:rFonts w:ascii="Times New Roman" w:hAnsi="Times New Roman"/>
        </w:rPr>
        <w:t>.;</w:t>
      </w:r>
      <w:proofErr w:type="gramEnd"/>
      <w:r>
        <w:rPr>
          <w:rFonts w:ascii="Times New Roman" w:hAnsi="Times New Roman"/>
        </w:rPr>
        <w:t xml:space="preserve"> ESCOTT-STA</w:t>
      </w:r>
      <w:r w:rsidR="008B0FE3" w:rsidRPr="001A3095">
        <w:rPr>
          <w:rFonts w:ascii="Times New Roman" w:hAnsi="Times New Roman"/>
        </w:rPr>
        <w:t xml:space="preserve">MP, S. </w:t>
      </w:r>
      <w:proofErr w:type="spellStart"/>
      <w:r w:rsidR="008B0FE3" w:rsidRPr="001A3095">
        <w:rPr>
          <w:rFonts w:ascii="Times New Roman" w:hAnsi="Times New Roman"/>
        </w:rPr>
        <w:t>Krause</w:t>
      </w:r>
      <w:proofErr w:type="spellEnd"/>
      <w:r w:rsidR="008B0FE3" w:rsidRPr="001A3095">
        <w:rPr>
          <w:rFonts w:ascii="Times New Roman" w:hAnsi="Times New Roman"/>
        </w:rPr>
        <w:t xml:space="preserve">: alimentos, nutrição e </w:t>
      </w:r>
      <w:proofErr w:type="spellStart"/>
      <w:r w:rsidR="008B0FE3" w:rsidRPr="001A3095">
        <w:rPr>
          <w:rFonts w:ascii="Times New Roman" w:hAnsi="Times New Roman"/>
        </w:rPr>
        <w:t>dietoterapia</w:t>
      </w:r>
      <w:proofErr w:type="spellEnd"/>
      <w:r w:rsidR="008B0FE3" w:rsidRPr="001A3095">
        <w:rPr>
          <w:rFonts w:ascii="Times New Roman" w:hAnsi="Times New Roman"/>
        </w:rPr>
        <w:t xml:space="preserve">. Editora Roca, </w:t>
      </w:r>
      <w:proofErr w:type="gramStart"/>
      <w:r w:rsidR="008B0FE3" w:rsidRPr="001A3095">
        <w:rPr>
          <w:rFonts w:ascii="Times New Roman" w:hAnsi="Times New Roman"/>
        </w:rPr>
        <w:t>10a.</w:t>
      </w:r>
      <w:proofErr w:type="gramEnd"/>
      <w:r w:rsidR="008B0FE3" w:rsidRPr="001A3095">
        <w:rPr>
          <w:rFonts w:ascii="Times New Roman" w:hAnsi="Times New Roman"/>
        </w:rPr>
        <w:t xml:space="preserve"> </w:t>
      </w:r>
      <w:proofErr w:type="gramStart"/>
      <w:r w:rsidR="008B0FE3" w:rsidRPr="001A3095">
        <w:rPr>
          <w:rFonts w:ascii="Times New Roman" w:hAnsi="Times New Roman"/>
        </w:rPr>
        <w:t>edição</w:t>
      </w:r>
      <w:proofErr w:type="gramEnd"/>
      <w:r w:rsidR="008B0FE3" w:rsidRPr="001A3095">
        <w:rPr>
          <w:rFonts w:ascii="Times New Roman" w:hAnsi="Times New Roman"/>
        </w:rPr>
        <w:t>. São Paulo, 2010.</w:t>
      </w:r>
    </w:p>
    <w:p w:rsidR="008B0FE3" w:rsidRPr="001A3095" w:rsidRDefault="008B0FE3" w:rsidP="00224BD0">
      <w:pPr>
        <w:spacing w:line="360" w:lineRule="auto"/>
        <w:jc w:val="both"/>
        <w:rPr>
          <w:rFonts w:ascii="Times New Roman" w:hAnsi="Times New Roman"/>
        </w:rPr>
      </w:pPr>
      <w:r w:rsidRPr="001A3095">
        <w:rPr>
          <w:rFonts w:ascii="Times New Roman" w:hAnsi="Times New Roman"/>
        </w:rPr>
        <w:t xml:space="preserve">VITOLO, MR. </w:t>
      </w:r>
      <w:r w:rsidRPr="001A3095">
        <w:rPr>
          <w:rFonts w:ascii="Times New Roman" w:hAnsi="Times New Roman"/>
          <w:bCs/>
        </w:rPr>
        <w:t>Nutrição: da gestação à adolescência</w:t>
      </w:r>
      <w:r w:rsidRPr="001A3095">
        <w:rPr>
          <w:rFonts w:ascii="Times New Roman" w:hAnsi="Times New Roman"/>
        </w:rPr>
        <w:t xml:space="preserve">. Rio de Janeiro: </w:t>
      </w:r>
      <w:proofErr w:type="spellStart"/>
      <w:r w:rsidRPr="001A3095">
        <w:rPr>
          <w:rFonts w:ascii="Times New Roman" w:hAnsi="Times New Roman"/>
        </w:rPr>
        <w:t>Reichmann</w:t>
      </w:r>
      <w:proofErr w:type="spellEnd"/>
      <w:r w:rsidRPr="001A3095">
        <w:rPr>
          <w:rFonts w:ascii="Times New Roman" w:hAnsi="Times New Roman"/>
        </w:rPr>
        <w:t xml:space="preserve"> &amp; Affonso editores, 2003.</w:t>
      </w:r>
    </w:p>
    <w:p w:rsidR="008B0FE3" w:rsidRPr="00EE01EA" w:rsidRDefault="008B0FE3" w:rsidP="00EE01EA">
      <w:pPr>
        <w:spacing w:line="360" w:lineRule="auto"/>
        <w:jc w:val="both"/>
        <w:rPr>
          <w:rFonts w:ascii="Times New Roman" w:hAnsi="Times New Roman"/>
        </w:rPr>
      </w:pPr>
    </w:p>
    <w:sectPr w:rsidR="008B0FE3" w:rsidRPr="00EE01EA" w:rsidSect="00E268AF">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6C" w:rsidRDefault="00767E6C" w:rsidP="00E268AF">
      <w:r>
        <w:separator/>
      </w:r>
    </w:p>
  </w:endnote>
  <w:endnote w:type="continuationSeparator" w:id="0">
    <w:p w:rsidR="00767E6C" w:rsidRDefault="00767E6C" w:rsidP="00E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AF" w:rsidRDefault="00E268AF" w:rsidP="00E268AF">
    <w:pPr>
      <w:rPr>
        <w:rFonts w:ascii="Arial" w:hAnsi="Arial" w:cs="Arial"/>
        <w:sz w:val="16"/>
        <w:szCs w:val="18"/>
        <w:vertAlign w:val="superscript"/>
      </w:rPr>
    </w:pPr>
    <w:r>
      <w:rPr>
        <w:rFonts w:ascii="Arial" w:hAnsi="Arial" w:cs="Arial"/>
        <w:sz w:val="16"/>
        <w:szCs w:val="18"/>
        <w:vertAlign w:val="superscript"/>
      </w:rPr>
      <w:t>____________________________________________________________________________________________________________________________________________</w:t>
    </w:r>
  </w:p>
  <w:p w:rsidR="00E268AF" w:rsidRDefault="00E268AF" w:rsidP="00E268AF">
    <w:pPr>
      <w:pStyle w:val="Rodap"/>
    </w:pPr>
    <w:proofErr w:type="gramStart"/>
    <w:r>
      <w:rPr>
        <w:rFonts w:ascii="Arial" w:hAnsi="Arial" w:cs="Arial"/>
        <w:sz w:val="16"/>
        <w:szCs w:val="18"/>
        <w:vertAlign w:val="superscript"/>
      </w:rPr>
      <w:t>1</w:t>
    </w:r>
    <w:proofErr w:type="gramEnd"/>
    <w:r>
      <w:rPr>
        <w:rFonts w:ascii="Arial" w:hAnsi="Arial" w:cs="Arial"/>
        <w:sz w:val="16"/>
        <w:szCs w:val="18"/>
        <w:vertAlign w:val="superscript"/>
      </w:rPr>
      <w:t>)</w:t>
    </w:r>
    <w:r w:rsidR="001A2236">
      <w:rPr>
        <w:rFonts w:ascii="Arial" w:hAnsi="Arial" w:cs="Arial"/>
        <w:sz w:val="16"/>
        <w:szCs w:val="18"/>
      </w:rPr>
      <w:t xml:space="preserve"> Bolsista voluntária</w:t>
    </w:r>
    <w:r>
      <w:rPr>
        <w:rFonts w:ascii="Arial" w:hAnsi="Arial" w:cs="Arial"/>
        <w:sz w:val="16"/>
        <w:szCs w:val="18"/>
      </w:rPr>
      <w:t xml:space="preserve">, </w:t>
    </w:r>
    <w:r w:rsidR="001A2236">
      <w:rPr>
        <w:rFonts w:ascii="Arial" w:hAnsi="Arial" w:cs="Arial"/>
        <w:sz w:val="16"/>
        <w:szCs w:val="18"/>
        <w:vertAlign w:val="superscript"/>
      </w:rPr>
      <w:t>(2</w:t>
    </w:r>
    <w:r>
      <w:rPr>
        <w:rFonts w:ascii="Arial" w:hAnsi="Arial" w:cs="Arial"/>
        <w:sz w:val="16"/>
        <w:szCs w:val="18"/>
        <w:vertAlign w:val="superscript"/>
      </w:rPr>
      <w:t>)</w:t>
    </w:r>
    <w:r>
      <w:rPr>
        <w:rFonts w:ascii="Arial" w:hAnsi="Arial" w:cs="Arial"/>
        <w:sz w:val="16"/>
        <w:szCs w:val="18"/>
      </w:rPr>
      <w:t xml:space="preserve"> Orientador/Coordenador</w:t>
    </w:r>
    <w:r w:rsidR="001A2236">
      <w:rPr>
        <w:rFonts w:ascii="Arial" w:hAnsi="Arial" w:cs="Arial"/>
        <w:sz w:val="16"/>
        <w:szCs w:val="18"/>
        <w:vertAlign w:val="superscript"/>
      </w:rPr>
      <w:t>, (3</w:t>
    </w:r>
    <w:r>
      <w:rPr>
        <w:rFonts w:ascii="Arial" w:hAnsi="Arial" w:cs="Arial"/>
        <w:sz w:val="16"/>
        <w:szCs w:val="18"/>
        <w:vertAlign w:val="superscript"/>
      </w:rPr>
      <w:t>)</w:t>
    </w:r>
    <w:r w:rsidR="001A2236">
      <w:rPr>
        <w:rFonts w:ascii="Arial" w:hAnsi="Arial" w:cs="Arial"/>
        <w:sz w:val="16"/>
        <w:szCs w:val="18"/>
      </w:rPr>
      <w:t xml:space="preserve"> Prof. Colaborador.</w:t>
    </w:r>
  </w:p>
  <w:p w:rsidR="00E268AF" w:rsidRDefault="00E268AF">
    <w:pPr>
      <w:pStyle w:val="Rodap"/>
    </w:pPr>
  </w:p>
  <w:p w:rsidR="00E268AF" w:rsidRDefault="00E268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6C" w:rsidRDefault="00767E6C" w:rsidP="00E268AF">
      <w:r>
        <w:separator/>
      </w:r>
    </w:p>
  </w:footnote>
  <w:footnote w:type="continuationSeparator" w:id="0">
    <w:p w:rsidR="00767E6C" w:rsidRDefault="00767E6C" w:rsidP="00E2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AF" w:rsidRDefault="00E268AF">
    <w:pPr>
      <w:pStyle w:val="Cabealho"/>
    </w:pPr>
    <w:r>
      <w:rPr>
        <w:rFonts w:ascii="Arial" w:hAnsi="Arial" w:cs="Arial"/>
        <w:b/>
        <w:bCs/>
        <w:color w:val="808080"/>
        <w:sz w:val="16"/>
        <w:u w:val="single"/>
      </w:rPr>
      <w:t xml:space="preserve">UFPB-PRG                                          </w:t>
    </w:r>
    <w:r w:rsidR="00AA32DD">
      <w:rPr>
        <w:rFonts w:ascii="Arial" w:hAnsi="Arial" w:cs="Arial"/>
        <w:b/>
        <w:bCs/>
        <w:color w:val="808080"/>
        <w:sz w:val="16"/>
        <w:u w:val="single"/>
      </w:rPr>
      <w:t>_______</w:t>
    </w:r>
    <w:r>
      <w:rPr>
        <w:rFonts w:ascii="Arial" w:hAnsi="Arial" w:cs="Arial"/>
        <w:b/>
        <w:bCs/>
        <w:color w:val="808080"/>
        <w:sz w:val="16"/>
        <w:u w:val="single"/>
      </w:rPr>
      <w:t xml:space="preserve">                                                                  XV Encontro de Iniciação à Docência</w:t>
    </w:r>
  </w:p>
  <w:p w:rsidR="00E268AF" w:rsidRDefault="00E268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23"/>
    <w:rsid w:val="0003281E"/>
    <w:rsid w:val="000415F3"/>
    <w:rsid w:val="00167BA8"/>
    <w:rsid w:val="001A2236"/>
    <w:rsid w:val="001A3095"/>
    <w:rsid w:val="001D2E83"/>
    <w:rsid w:val="00206EDE"/>
    <w:rsid w:val="00224BD0"/>
    <w:rsid w:val="00306654"/>
    <w:rsid w:val="00500770"/>
    <w:rsid w:val="00543EB1"/>
    <w:rsid w:val="005901A8"/>
    <w:rsid w:val="006075DC"/>
    <w:rsid w:val="006800F1"/>
    <w:rsid w:val="00723002"/>
    <w:rsid w:val="00767E6C"/>
    <w:rsid w:val="00787B50"/>
    <w:rsid w:val="0084742E"/>
    <w:rsid w:val="008729B5"/>
    <w:rsid w:val="00873D48"/>
    <w:rsid w:val="008B0FE3"/>
    <w:rsid w:val="008B58D6"/>
    <w:rsid w:val="00960B33"/>
    <w:rsid w:val="009836FD"/>
    <w:rsid w:val="00AA32DD"/>
    <w:rsid w:val="00AD4523"/>
    <w:rsid w:val="00DE3A99"/>
    <w:rsid w:val="00DF5F18"/>
    <w:rsid w:val="00E268AF"/>
    <w:rsid w:val="00E30B02"/>
    <w:rsid w:val="00ED2FC2"/>
    <w:rsid w:val="00EE01EA"/>
    <w:rsid w:val="00F5560F"/>
    <w:rsid w:val="00FC2D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23"/>
    <w:pPr>
      <w:widowControl w:val="0"/>
      <w:suppressAutoHyphens/>
    </w:pPr>
    <w:rPr>
      <w:rFonts w:ascii="Liberation Serif" w:eastAsia="DejaVu Sans" w:hAnsi="Liberation Serif"/>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8AF"/>
    <w:pPr>
      <w:tabs>
        <w:tab w:val="center" w:pos="4252"/>
        <w:tab w:val="right" w:pos="8504"/>
      </w:tabs>
    </w:pPr>
  </w:style>
  <w:style w:type="character" w:customStyle="1" w:styleId="CabealhoChar">
    <w:name w:val="Cabeçalho Char"/>
    <w:link w:val="Cabealho"/>
    <w:uiPriority w:val="99"/>
    <w:rsid w:val="00E268AF"/>
    <w:rPr>
      <w:rFonts w:ascii="Liberation Serif" w:eastAsia="DejaVu Sans" w:hAnsi="Liberation Serif" w:cs="Times New Roman"/>
      <w:kern w:val="1"/>
      <w:sz w:val="24"/>
      <w:szCs w:val="24"/>
    </w:rPr>
  </w:style>
  <w:style w:type="paragraph" w:styleId="Rodap">
    <w:name w:val="footer"/>
    <w:basedOn w:val="Normal"/>
    <w:link w:val="RodapChar"/>
    <w:uiPriority w:val="99"/>
    <w:unhideWhenUsed/>
    <w:rsid w:val="00E268AF"/>
    <w:pPr>
      <w:tabs>
        <w:tab w:val="center" w:pos="4252"/>
        <w:tab w:val="right" w:pos="8504"/>
      </w:tabs>
    </w:pPr>
  </w:style>
  <w:style w:type="character" w:customStyle="1" w:styleId="RodapChar">
    <w:name w:val="Rodapé Char"/>
    <w:link w:val="Rodap"/>
    <w:uiPriority w:val="99"/>
    <w:rsid w:val="00E268AF"/>
    <w:rPr>
      <w:rFonts w:ascii="Liberation Serif" w:eastAsia="DejaVu Sans" w:hAnsi="Liberation Serif" w:cs="Times New Roman"/>
      <w:kern w:val="1"/>
      <w:sz w:val="24"/>
      <w:szCs w:val="24"/>
    </w:rPr>
  </w:style>
  <w:style w:type="paragraph" w:styleId="Textodebalo">
    <w:name w:val="Balloon Text"/>
    <w:basedOn w:val="Normal"/>
    <w:link w:val="TextodebaloChar"/>
    <w:uiPriority w:val="99"/>
    <w:semiHidden/>
    <w:unhideWhenUsed/>
    <w:rsid w:val="00E268AF"/>
    <w:rPr>
      <w:rFonts w:ascii="Tahoma" w:hAnsi="Tahoma" w:cs="Tahoma"/>
      <w:sz w:val="16"/>
      <w:szCs w:val="16"/>
    </w:rPr>
  </w:style>
  <w:style w:type="character" w:customStyle="1" w:styleId="TextodebaloChar">
    <w:name w:val="Texto de balão Char"/>
    <w:link w:val="Textodebalo"/>
    <w:uiPriority w:val="99"/>
    <w:semiHidden/>
    <w:rsid w:val="00E268AF"/>
    <w:rPr>
      <w:rFonts w:ascii="Tahoma" w:eastAsia="DejaVu Sans" w:hAnsi="Tahoma" w:cs="Tahoma"/>
      <w:kern w:val="1"/>
      <w:sz w:val="16"/>
      <w:szCs w:val="16"/>
    </w:rPr>
  </w:style>
  <w:style w:type="character" w:customStyle="1" w:styleId="apple-converted-space">
    <w:name w:val="apple-converted-space"/>
    <w:basedOn w:val="Fontepargpadro"/>
    <w:rsid w:val="00AA32DD"/>
  </w:style>
  <w:style w:type="character" w:styleId="Hyperlink">
    <w:name w:val="Hyperlink"/>
    <w:uiPriority w:val="99"/>
    <w:semiHidden/>
    <w:unhideWhenUsed/>
    <w:rsid w:val="00AA32DD"/>
    <w:rPr>
      <w:color w:val="0000FF"/>
      <w:u w:val="single"/>
    </w:rPr>
  </w:style>
  <w:style w:type="paragraph" w:styleId="SemEspaamento">
    <w:name w:val="No Spacing"/>
    <w:uiPriority w:val="1"/>
    <w:qFormat/>
    <w:rsid w:val="00AA32DD"/>
    <w:pPr>
      <w:widowControl w:val="0"/>
      <w:suppressAutoHyphens/>
    </w:pPr>
    <w:rPr>
      <w:rFonts w:ascii="Liberation Serif" w:eastAsia="DejaVu Sans" w:hAnsi="Liberation Serif"/>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23"/>
    <w:pPr>
      <w:widowControl w:val="0"/>
      <w:suppressAutoHyphens/>
    </w:pPr>
    <w:rPr>
      <w:rFonts w:ascii="Liberation Serif" w:eastAsia="DejaVu Sans" w:hAnsi="Liberation Serif"/>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8AF"/>
    <w:pPr>
      <w:tabs>
        <w:tab w:val="center" w:pos="4252"/>
        <w:tab w:val="right" w:pos="8504"/>
      </w:tabs>
    </w:pPr>
  </w:style>
  <w:style w:type="character" w:customStyle="1" w:styleId="CabealhoChar">
    <w:name w:val="Cabeçalho Char"/>
    <w:link w:val="Cabealho"/>
    <w:uiPriority w:val="99"/>
    <w:rsid w:val="00E268AF"/>
    <w:rPr>
      <w:rFonts w:ascii="Liberation Serif" w:eastAsia="DejaVu Sans" w:hAnsi="Liberation Serif" w:cs="Times New Roman"/>
      <w:kern w:val="1"/>
      <w:sz w:val="24"/>
      <w:szCs w:val="24"/>
    </w:rPr>
  </w:style>
  <w:style w:type="paragraph" w:styleId="Rodap">
    <w:name w:val="footer"/>
    <w:basedOn w:val="Normal"/>
    <w:link w:val="RodapChar"/>
    <w:uiPriority w:val="99"/>
    <w:unhideWhenUsed/>
    <w:rsid w:val="00E268AF"/>
    <w:pPr>
      <w:tabs>
        <w:tab w:val="center" w:pos="4252"/>
        <w:tab w:val="right" w:pos="8504"/>
      </w:tabs>
    </w:pPr>
  </w:style>
  <w:style w:type="character" w:customStyle="1" w:styleId="RodapChar">
    <w:name w:val="Rodapé Char"/>
    <w:link w:val="Rodap"/>
    <w:uiPriority w:val="99"/>
    <w:rsid w:val="00E268AF"/>
    <w:rPr>
      <w:rFonts w:ascii="Liberation Serif" w:eastAsia="DejaVu Sans" w:hAnsi="Liberation Serif" w:cs="Times New Roman"/>
      <w:kern w:val="1"/>
      <w:sz w:val="24"/>
      <w:szCs w:val="24"/>
    </w:rPr>
  </w:style>
  <w:style w:type="paragraph" w:styleId="Textodebalo">
    <w:name w:val="Balloon Text"/>
    <w:basedOn w:val="Normal"/>
    <w:link w:val="TextodebaloChar"/>
    <w:uiPriority w:val="99"/>
    <w:semiHidden/>
    <w:unhideWhenUsed/>
    <w:rsid w:val="00E268AF"/>
    <w:rPr>
      <w:rFonts w:ascii="Tahoma" w:hAnsi="Tahoma" w:cs="Tahoma"/>
      <w:sz w:val="16"/>
      <w:szCs w:val="16"/>
    </w:rPr>
  </w:style>
  <w:style w:type="character" w:customStyle="1" w:styleId="TextodebaloChar">
    <w:name w:val="Texto de balão Char"/>
    <w:link w:val="Textodebalo"/>
    <w:uiPriority w:val="99"/>
    <w:semiHidden/>
    <w:rsid w:val="00E268AF"/>
    <w:rPr>
      <w:rFonts w:ascii="Tahoma" w:eastAsia="DejaVu Sans" w:hAnsi="Tahoma" w:cs="Tahoma"/>
      <w:kern w:val="1"/>
      <w:sz w:val="16"/>
      <w:szCs w:val="16"/>
    </w:rPr>
  </w:style>
  <w:style w:type="character" w:customStyle="1" w:styleId="apple-converted-space">
    <w:name w:val="apple-converted-space"/>
    <w:basedOn w:val="Fontepargpadro"/>
    <w:rsid w:val="00AA32DD"/>
  </w:style>
  <w:style w:type="character" w:styleId="Hyperlink">
    <w:name w:val="Hyperlink"/>
    <w:uiPriority w:val="99"/>
    <w:semiHidden/>
    <w:unhideWhenUsed/>
    <w:rsid w:val="00AA32DD"/>
    <w:rPr>
      <w:color w:val="0000FF"/>
      <w:u w:val="single"/>
    </w:rPr>
  </w:style>
  <w:style w:type="paragraph" w:styleId="SemEspaamento">
    <w:name w:val="No Spacing"/>
    <w:uiPriority w:val="1"/>
    <w:qFormat/>
    <w:rsid w:val="00AA32DD"/>
    <w:pPr>
      <w:widowControl w:val="0"/>
      <w:suppressAutoHyphens/>
    </w:pPr>
    <w:rPr>
      <w:rFonts w:ascii="Liberation Serif" w:eastAsia="DejaVu Sans" w:hAnsi="Liberation Serif"/>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BD233-57C6-4A9C-834C-2E01C628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8051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Chefiadepnut</cp:lastModifiedBy>
  <cp:revision>2</cp:revision>
  <dcterms:created xsi:type="dcterms:W3CDTF">2013-10-21T13:29:00Z</dcterms:created>
  <dcterms:modified xsi:type="dcterms:W3CDTF">2013-10-21T13:29:00Z</dcterms:modified>
</cp:coreProperties>
</file>